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9C" w:rsidRPr="003A50E8" w:rsidRDefault="00797AA1" w:rsidP="00797AA1">
      <w:pPr>
        <w:suppressAutoHyphens/>
        <w:autoSpaceDE w:val="0"/>
        <w:autoSpaceDN w:val="0"/>
        <w:adjustRightInd w:val="0"/>
        <w:jc w:val="center"/>
        <w:rPr>
          <w:sz w:val="28"/>
          <w:szCs w:val="28"/>
        </w:rPr>
      </w:pPr>
      <w:r w:rsidRPr="003A50E8">
        <w:rPr>
          <w:sz w:val="28"/>
          <w:szCs w:val="28"/>
        </w:rPr>
        <w:t>Доклад</w:t>
      </w:r>
    </w:p>
    <w:p w:rsidR="00797AA1" w:rsidRPr="003A50E8" w:rsidRDefault="00797AA1" w:rsidP="00797AA1">
      <w:pPr>
        <w:suppressAutoHyphens/>
        <w:autoSpaceDE w:val="0"/>
        <w:autoSpaceDN w:val="0"/>
        <w:adjustRightInd w:val="0"/>
        <w:jc w:val="center"/>
        <w:rPr>
          <w:sz w:val="28"/>
          <w:szCs w:val="28"/>
        </w:rPr>
      </w:pPr>
      <w:r w:rsidRPr="003A50E8">
        <w:rPr>
          <w:sz w:val="28"/>
          <w:szCs w:val="28"/>
        </w:rPr>
        <w:t xml:space="preserve"> </w:t>
      </w:r>
    </w:p>
    <w:p w:rsidR="00452D2E" w:rsidRPr="003A50E8" w:rsidRDefault="00F159F1" w:rsidP="00797AA1">
      <w:pPr>
        <w:suppressAutoHyphens/>
        <w:autoSpaceDE w:val="0"/>
        <w:autoSpaceDN w:val="0"/>
        <w:adjustRightInd w:val="0"/>
        <w:jc w:val="both"/>
        <w:rPr>
          <w:sz w:val="28"/>
          <w:szCs w:val="28"/>
        </w:rPr>
      </w:pPr>
      <w:r w:rsidRPr="003A50E8">
        <w:rPr>
          <w:sz w:val="28"/>
          <w:szCs w:val="28"/>
        </w:rPr>
        <w:t>Начальника отдела обеспечения процедур банкротства</w:t>
      </w:r>
      <w:r w:rsidR="00797AA1" w:rsidRPr="003A50E8">
        <w:rPr>
          <w:sz w:val="28"/>
          <w:szCs w:val="28"/>
        </w:rPr>
        <w:t xml:space="preserve"> УФНС России по Новгородской области </w:t>
      </w:r>
      <w:r w:rsidRPr="003A50E8">
        <w:rPr>
          <w:sz w:val="28"/>
          <w:szCs w:val="28"/>
        </w:rPr>
        <w:t xml:space="preserve">Хохлова </w:t>
      </w:r>
      <w:r w:rsidR="00797AA1" w:rsidRPr="003A50E8">
        <w:rPr>
          <w:sz w:val="28"/>
          <w:szCs w:val="28"/>
        </w:rPr>
        <w:t xml:space="preserve">Андрея </w:t>
      </w:r>
      <w:r w:rsidRPr="003A50E8">
        <w:rPr>
          <w:sz w:val="28"/>
          <w:szCs w:val="28"/>
        </w:rPr>
        <w:t>Анатолье</w:t>
      </w:r>
      <w:r w:rsidR="00797AA1" w:rsidRPr="003A50E8">
        <w:rPr>
          <w:sz w:val="28"/>
          <w:szCs w:val="28"/>
        </w:rPr>
        <w:t>вича на тему: «</w:t>
      </w:r>
      <w:r w:rsidR="00912DBE" w:rsidRPr="003A50E8">
        <w:rPr>
          <w:sz w:val="28"/>
          <w:szCs w:val="28"/>
        </w:rPr>
        <w:t>Преднамеренное банкротство: признаки и последствия</w:t>
      </w:r>
      <w:r w:rsidR="00797AA1" w:rsidRPr="003A50E8">
        <w:rPr>
          <w:sz w:val="28"/>
          <w:szCs w:val="28"/>
        </w:rPr>
        <w:t>».</w:t>
      </w:r>
    </w:p>
    <w:p w:rsidR="00797AA1" w:rsidRPr="003A50E8" w:rsidRDefault="00797AA1" w:rsidP="001C2EA1">
      <w:pPr>
        <w:suppressAutoHyphens/>
        <w:autoSpaceDE w:val="0"/>
        <w:autoSpaceDN w:val="0"/>
        <w:adjustRightInd w:val="0"/>
        <w:ind w:firstLine="709"/>
        <w:jc w:val="both"/>
        <w:rPr>
          <w:sz w:val="28"/>
          <w:szCs w:val="28"/>
        </w:rPr>
      </w:pPr>
    </w:p>
    <w:p w:rsidR="00452D2E" w:rsidRPr="003A50E8" w:rsidRDefault="00797AA1" w:rsidP="00797AA1">
      <w:pPr>
        <w:suppressAutoHyphens/>
        <w:autoSpaceDE w:val="0"/>
        <w:autoSpaceDN w:val="0"/>
        <w:adjustRightInd w:val="0"/>
        <w:ind w:firstLine="709"/>
        <w:jc w:val="center"/>
        <w:rPr>
          <w:sz w:val="28"/>
          <w:szCs w:val="28"/>
        </w:rPr>
      </w:pPr>
      <w:r w:rsidRPr="003A50E8">
        <w:rPr>
          <w:sz w:val="28"/>
          <w:szCs w:val="28"/>
        </w:rPr>
        <w:t xml:space="preserve">Добрый день </w:t>
      </w:r>
      <w:r w:rsidR="00912DBE" w:rsidRPr="003A50E8">
        <w:rPr>
          <w:sz w:val="28"/>
          <w:szCs w:val="28"/>
        </w:rPr>
        <w:t>участники публичных слушаний</w:t>
      </w:r>
      <w:r w:rsidRPr="003A50E8">
        <w:rPr>
          <w:sz w:val="28"/>
          <w:szCs w:val="28"/>
        </w:rPr>
        <w:t>!</w:t>
      </w:r>
    </w:p>
    <w:p w:rsidR="00A70C64" w:rsidRPr="003A50E8" w:rsidRDefault="00A70C64" w:rsidP="003A4547">
      <w:pPr>
        <w:suppressAutoHyphens/>
        <w:autoSpaceDE w:val="0"/>
        <w:autoSpaceDN w:val="0"/>
        <w:adjustRightInd w:val="0"/>
        <w:ind w:firstLine="709"/>
        <w:jc w:val="both"/>
        <w:rPr>
          <w:sz w:val="28"/>
          <w:szCs w:val="28"/>
        </w:rPr>
      </w:pPr>
    </w:p>
    <w:p w:rsidR="00241945" w:rsidRPr="003A50E8" w:rsidRDefault="00241945" w:rsidP="00241945">
      <w:pPr>
        <w:suppressAutoHyphens/>
        <w:autoSpaceDE w:val="0"/>
        <w:autoSpaceDN w:val="0"/>
        <w:adjustRightInd w:val="0"/>
        <w:ind w:firstLine="709"/>
        <w:jc w:val="both"/>
        <w:rPr>
          <w:sz w:val="28"/>
          <w:szCs w:val="28"/>
        </w:rPr>
      </w:pPr>
      <w:r w:rsidRPr="003A50E8">
        <w:rPr>
          <w:sz w:val="28"/>
          <w:szCs w:val="28"/>
        </w:rPr>
        <w:t xml:space="preserve">Процедура банкротства является одним из инструментов урегулирования задолженности. </w:t>
      </w:r>
    </w:p>
    <w:p w:rsidR="00241945" w:rsidRPr="003A50E8" w:rsidRDefault="00241945" w:rsidP="00241945">
      <w:pPr>
        <w:suppressAutoHyphens/>
        <w:autoSpaceDE w:val="0"/>
        <w:autoSpaceDN w:val="0"/>
        <w:adjustRightInd w:val="0"/>
        <w:ind w:firstLine="709"/>
        <w:jc w:val="both"/>
        <w:rPr>
          <w:sz w:val="28"/>
          <w:szCs w:val="28"/>
        </w:rPr>
      </w:pPr>
      <w:r w:rsidRPr="003A50E8">
        <w:rPr>
          <w:sz w:val="28"/>
          <w:szCs w:val="28"/>
        </w:rPr>
        <w:t>В настоящее время сопровождение дел о банкротстве всех должников региона, находящихся в процедурах банкротства, осуществляется Управлением ФНС России по Новгородской области.</w:t>
      </w:r>
    </w:p>
    <w:p w:rsidR="001F26D7" w:rsidRPr="003A50E8" w:rsidRDefault="001F26D7" w:rsidP="00241945">
      <w:pPr>
        <w:suppressAutoHyphens/>
        <w:autoSpaceDE w:val="0"/>
        <w:autoSpaceDN w:val="0"/>
        <w:adjustRightInd w:val="0"/>
        <w:ind w:firstLine="709"/>
        <w:jc w:val="both"/>
        <w:rPr>
          <w:sz w:val="28"/>
          <w:szCs w:val="28"/>
        </w:rPr>
      </w:pPr>
      <w:r w:rsidRPr="003A50E8">
        <w:rPr>
          <w:b/>
          <w:sz w:val="28"/>
          <w:szCs w:val="28"/>
        </w:rPr>
        <w:t>Слайд №</w:t>
      </w:r>
      <w:r w:rsidR="00335538" w:rsidRPr="003A50E8">
        <w:rPr>
          <w:b/>
          <w:sz w:val="28"/>
          <w:szCs w:val="28"/>
        </w:rPr>
        <w:t>2</w:t>
      </w:r>
      <w:r w:rsidRPr="003A50E8">
        <w:rPr>
          <w:b/>
          <w:sz w:val="28"/>
          <w:szCs w:val="28"/>
        </w:rPr>
        <w:t>.</w:t>
      </w:r>
      <w:r w:rsidRPr="003A50E8">
        <w:rPr>
          <w:sz w:val="28"/>
          <w:szCs w:val="28"/>
        </w:rPr>
        <w:t xml:space="preserve"> </w:t>
      </w:r>
    </w:p>
    <w:p w:rsidR="00241945" w:rsidRPr="003A50E8" w:rsidRDefault="00241945" w:rsidP="00241945">
      <w:pPr>
        <w:suppressAutoHyphens/>
        <w:autoSpaceDE w:val="0"/>
        <w:autoSpaceDN w:val="0"/>
        <w:adjustRightInd w:val="0"/>
        <w:ind w:firstLine="709"/>
        <w:jc w:val="both"/>
        <w:rPr>
          <w:sz w:val="28"/>
          <w:szCs w:val="28"/>
        </w:rPr>
      </w:pPr>
      <w:r w:rsidRPr="003A50E8">
        <w:rPr>
          <w:sz w:val="28"/>
          <w:szCs w:val="28"/>
        </w:rPr>
        <w:t>В последнее время значительно возр</w:t>
      </w:r>
      <w:r w:rsidR="001F26D7" w:rsidRPr="003A50E8">
        <w:rPr>
          <w:sz w:val="28"/>
          <w:szCs w:val="28"/>
        </w:rPr>
        <w:t>осло число процедур банкротства.</w:t>
      </w:r>
    </w:p>
    <w:p w:rsidR="001F26D7" w:rsidRPr="003A50E8" w:rsidRDefault="001F26D7" w:rsidP="00241945">
      <w:pPr>
        <w:suppressAutoHyphens/>
        <w:autoSpaceDE w:val="0"/>
        <w:autoSpaceDN w:val="0"/>
        <w:adjustRightInd w:val="0"/>
        <w:ind w:firstLine="709"/>
        <w:jc w:val="both"/>
        <w:rPr>
          <w:sz w:val="28"/>
          <w:szCs w:val="28"/>
        </w:rPr>
      </w:pPr>
      <w:r w:rsidRPr="003A50E8">
        <w:rPr>
          <w:sz w:val="28"/>
          <w:szCs w:val="28"/>
        </w:rPr>
        <w:t xml:space="preserve">Так, По состоянию на 01.01.2018 г. в процедурах банкротства находилось 237 должников  с суммой задолженности, включенной в реестр требований кредиторов </w:t>
      </w:r>
      <w:r w:rsidRPr="003A50E8">
        <w:rPr>
          <w:b/>
          <w:sz w:val="28"/>
          <w:szCs w:val="28"/>
        </w:rPr>
        <w:t>1595,7</w:t>
      </w:r>
      <w:r w:rsidRPr="003A50E8">
        <w:rPr>
          <w:sz w:val="28"/>
          <w:szCs w:val="28"/>
        </w:rPr>
        <w:t xml:space="preserve"> млн. рублей. По состоянию на 01.01.2019 их количество выросло примерно  на 30 % до 324 процедур с суммой задолженности, включенной в реестр требований кредиторов </w:t>
      </w:r>
      <w:r w:rsidRPr="003A50E8">
        <w:rPr>
          <w:szCs w:val="26"/>
        </w:rPr>
        <w:t>1641,3</w:t>
      </w:r>
      <w:r w:rsidRPr="003A50E8">
        <w:rPr>
          <w:b/>
          <w:sz w:val="28"/>
          <w:szCs w:val="28"/>
        </w:rPr>
        <w:t xml:space="preserve"> </w:t>
      </w:r>
      <w:r w:rsidRPr="003A50E8">
        <w:rPr>
          <w:sz w:val="28"/>
          <w:szCs w:val="28"/>
        </w:rPr>
        <w:t xml:space="preserve">млн. рублей. По состоянию на 01.01.2020 количество должников составляет 513 с суммой долга, включенного в РТК 1827 </w:t>
      </w:r>
      <w:proofErr w:type="gramStart"/>
      <w:r w:rsidRPr="003A50E8">
        <w:rPr>
          <w:sz w:val="28"/>
          <w:szCs w:val="28"/>
        </w:rPr>
        <w:t>млн</w:t>
      </w:r>
      <w:proofErr w:type="gramEnd"/>
      <w:r w:rsidRPr="003A50E8">
        <w:rPr>
          <w:sz w:val="28"/>
          <w:szCs w:val="28"/>
        </w:rPr>
        <w:t xml:space="preserve"> рублей.</w:t>
      </w:r>
    </w:p>
    <w:p w:rsidR="00241945" w:rsidRPr="003A50E8" w:rsidRDefault="001F26D7" w:rsidP="00241945">
      <w:pPr>
        <w:snapToGrid/>
        <w:ind w:firstLine="709"/>
        <w:jc w:val="both"/>
        <w:rPr>
          <w:sz w:val="28"/>
          <w:szCs w:val="28"/>
        </w:rPr>
      </w:pPr>
      <w:proofErr w:type="gramStart"/>
      <w:r w:rsidRPr="003A50E8">
        <w:rPr>
          <w:sz w:val="28"/>
          <w:szCs w:val="28"/>
        </w:rPr>
        <w:t xml:space="preserve">Следует отметить, что </w:t>
      </w:r>
      <w:r w:rsidR="00151A73" w:rsidRPr="003A50E8">
        <w:rPr>
          <w:sz w:val="28"/>
          <w:szCs w:val="28"/>
        </w:rPr>
        <w:t>У</w:t>
      </w:r>
      <w:r w:rsidR="00241945" w:rsidRPr="003A50E8">
        <w:rPr>
          <w:sz w:val="28"/>
          <w:szCs w:val="28"/>
        </w:rPr>
        <w:t>полномоченный орган принимает меры по инициированию только в отношении эффективных дел о банкротстве в целях обеспечения роста поступлений в бюджет в результате погашения налогоплательщиком задолженности после принятия уполномоченным органом решения о подаче заявления либо в ходе дела о банкротстве, как в добровольном порядке, так и за счет пополнения конкурсной массы в процедуре банкротства.</w:t>
      </w:r>
      <w:proofErr w:type="gramEnd"/>
    </w:p>
    <w:p w:rsidR="00241945" w:rsidRPr="003A50E8" w:rsidRDefault="00241945" w:rsidP="00241945">
      <w:pPr>
        <w:suppressAutoHyphens/>
        <w:autoSpaceDE w:val="0"/>
        <w:autoSpaceDN w:val="0"/>
        <w:adjustRightInd w:val="0"/>
        <w:ind w:firstLine="709"/>
        <w:jc w:val="both"/>
        <w:rPr>
          <w:sz w:val="28"/>
          <w:szCs w:val="28"/>
        </w:rPr>
      </w:pPr>
      <w:r w:rsidRPr="003A50E8">
        <w:rPr>
          <w:sz w:val="28"/>
          <w:szCs w:val="28"/>
        </w:rPr>
        <w:t>Управление при  принятии мер по инициированию процедур банкротами не преследует цель банкротства должника и участие в процедуре банкротства любой ценой.</w:t>
      </w:r>
    </w:p>
    <w:p w:rsidR="00241945" w:rsidRPr="003A50E8" w:rsidRDefault="00241945" w:rsidP="00241945">
      <w:pPr>
        <w:snapToGrid/>
        <w:ind w:firstLine="709"/>
        <w:jc w:val="both"/>
        <w:rPr>
          <w:sz w:val="28"/>
          <w:szCs w:val="28"/>
        </w:rPr>
      </w:pPr>
      <w:r w:rsidRPr="003A50E8">
        <w:rPr>
          <w:sz w:val="28"/>
          <w:szCs w:val="28"/>
        </w:rPr>
        <w:t>Для добросовестных налогоплательщиков, которые хотят погасить долг, но по объективным причинам не могут сделать это сразу, готово рассматривать проекты мировых соглашений.</w:t>
      </w:r>
    </w:p>
    <w:p w:rsidR="001F26D7" w:rsidRPr="003A50E8" w:rsidRDefault="001F26D7" w:rsidP="001F26D7">
      <w:pPr>
        <w:snapToGrid/>
        <w:ind w:firstLine="709"/>
        <w:jc w:val="both"/>
        <w:rPr>
          <w:sz w:val="28"/>
          <w:szCs w:val="28"/>
        </w:rPr>
      </w:pPr>
      <w:r w:rsidRPr="003A50E8">
        <w:rPr>
          <w:sz w:val="28"/>
          <w:szCs w:val="28"/>
        </w:rPr>
        <w:t>Управлением ФНС России по Новгородской области в 2019 году направлено 118 заявлений о признании должника несостоятельным (банкротом) на общую сумму 420,4 млн. рублей.</w:t>
      </w:r>
    </w:p>
    <w:p w:rsidR="00241945" w:rsidRPr="003A50E8" w:rsidRDefault="00335538" w:rsidP="00241945">
      <w:pPr>
        <w:ind w:firstLine="709"/>
        <w:jc w:val="both"/>
        <w:rPr>
          <w:sz w:val="28"/>
          <w:szCs w:val="28"/>
        </w:rPr>
      </w:pPr>
      <w:r w:rsidRPr="003A50E8">
        <w:rPr>
          <w:b/>
          <w:sz w:val="28"/>
          <w:szCs w:val="28"/>
        </w:rPr>
        <w:t>Слайд №3</w:t>
      </w:r>
      <w:r w:rsidR="00241945" w:rsidRPr="003A50E8">
        <w:rPr>
          <w:sz w:val="28"/>
          <w:szCs w:val="28"/>
        </w:rPr>
        <w:t xml:space="preserve">. На настоящий момент в процедуре </w:t>
      </w:r>
      <w:r w:rsidR="00241945" w:rsidRPr="003A50E8">
        <w:rPr>
          <w:b/>
          <w:sz w:val="28"/>
          <w:szCs w:val="28"/>
        </w:rPr>
        <w:t xml:space="preserve">наблюдения </w:t>
      </w:r>
      <w:r w:rsidR="00241945" w:rsidRPr="003A50E8">
        <w:rPr>
          <w:sz w:val="28"/>
          <w:szCs w:val="28"/>
        </w:rPr>
        <w:t xml:space="preserve">находятся 18 должников, в процедуре </w:t>
      </w:r>
      <w:r w:rsidR="00241945" w:rsidRPr="003A50E8">
        <w:rPr>
          <w:b/>
          <w:sz w:val="28"/>
          <w:szCs w:val="28"/>
        </w:rPr>
        <w:t>внешнего управления</w:t>
      </w:r>
      <w:r w:rsidR="00241945" w:rsidRPr="003A50E8">
        <w:rPr>
          <w:sz w:val="28"/>
          <w:szCs w:val="28"/>
        </w:rPr>
        <w:t xml:space="preserve"> – 1 в процедуре </w:t>
      </w:r>
      <w:r w:rsidR="00241945" w:rsidRPr="003A50E8">
        <w:rPr>
          <w:b/>
          <w:sz w:val="28"/>
          <w:szCs w:val="28"/>
        </w:rPr>
        <w:t>конкурсного производства</w:t>
      </w:r>
      <w:r w:rsidR="00241945" w:rsidRPr="003A50E8">
        <w:rPr>
          <w:sz w:val="28"/>
          <w:szCs w:val="28"/>
        </w:rPr>
        <w:t xml:space="preserve"> – 165 должников, в процедуре </w:t>
      </w:r>
      <w:r w:rsidR="00241945" w:rsidRPr="003A50E8">
        <w:rPr>
          <w:b/>
          <w:sz w:val="28"/>
          <w:szCs w:val="28"/>
        </w:rPr>
        <w:t>реструктуризации долгов</w:t>
      </w:r>
      <w:r w:rsidR="00241945" w:rsidRPr="003A50E8">
        <w:rPr>
          <w:sz w:val="28"/>
          <w:szCs w:val="28"/>
        </w:rPr>
        <w:t xml:space="preserve"> </w:t>
      </w:r>
      <w:r w:rsidR="00241945" w:rsidRPr="003A50E8">
        <w:rPr>
          <w:b/>
          <w:sz w:val="28"/>
          <w:szCs w:val="28"/>
        </w:rPr>
        <w:t>гражданина</w:t>
      </w:r>
      <w:r w:rsidR="00241945" w:rsidRPr="003A50E8">
        <w:rPr>
          <w:sz w:val="28"/>
          <w:szCs w:val="28"/>
        </w:rPr>
        <w:t xml:space="preserve"> – 59 должников, в процедуре </w:t>
      </w:r>
      <w:r w:rsidR="00241945" w:rsidRPr="003A50E8">
        <w:rPr>
          <w:b/>
          <w:sz w:val="28"/>
          <w:szCs w:val="28"/>
        </w:rPr>
        <w:t>реализации имущества гражданина</w:t>
      </w:r>
      <w:r w:rsidR="00241945" w:rsidRPr="003A50E8">
        <w:rPr>
          <w:sz w:val="28"/>
          <w:szCs w:val="28"/>
        </w:rPr>
        <w:t xml:space="preserve"> – 270 должников. </w:t>
      </w:r>
    </w:p>
    <w:p w:rsidR="00241945" w:rsidRPr="003A50E8" w:rsidRDefault="00241945" w:rsidP="00241945">
      <w:pPr>
        <w:suppressAutoHyphens/>
        <w:autoSpaceDE w:val="0"/>
        <w:autoSpaceDN w:val="0"/>
        <w:adjustRightInd w:val="0"/>
        <w:ind w:firstLine="709"/>
        <w:jc w:val="both"/>
        <w:rPr>
          <w:sz w:val="28"/>
          <w:szCs w:val="28"/>
        </w:rPr>
      </w:pPr>
      <w:r w:rsidRPr="003A50E8">
        <w:rPr>
          <w:b/>
          <w:sz w:val="28"/>
          <w:szCs w:val="28"/>
        </w:rPr>
        <w:lastRenderedPageBreak/>
        <w:t xml:space="preserve">Слайд № </w:t>
      </w:r>
      <w:r w:rsidR="00335538" w:rsidRPr="003A50E8">
        <w:rPr>
          <w:b/>
          <w:sz w:val="28"/>
          <w:szCs w:val="28"/>
        </w:rPr>
        <w:t>4</w:t>
      </w:r>
      <w:r w:rsidRPr="003A50E8">
        <w:rPr>
          <w:b/>
          <w:sz w:val="28"/>
          <w:szCs w:val="28"/>
        </w:rPr>
        <w:t xml:space="preserve">. </w:t>
      </w:r>
      <w:proofErr w:type="gramStart"/>
      <w:r w:rsidRPr="003A50E8">
        <w:rPr>
          <w:sz w:val="28"/>
          <w:szCs w:val="28"/>
        </w:rPr>
        <w:t>По видам экономической деятельности по состоянию на 01.01.2020 г. наибольший удельный вес должников банкротов – 25% (49 должников - банкротов) – приходится на деятельность по операциям с недвижимым имуществом, 20% (40 должников - банкротов) приходится на оптовую и розничную торговлю, 15% (30 должников - банкротов) приходится на строительство, 9 % (20 должников - банкротов) приходится на транспортировку и хранение,  8% (18 должников - банкротов) приходится на сельское и</w:t>
      </w:r>
      <w:proofErr w:type="gramEnd"/>
      <w:r w:rsidRPr="003A50E8">
        <w:rPr>
          <w:sz w:val="28"/>
          <w:szCs w:val="28"/>
        </w:rPr>
        <w:t xml:space="preserve"> лесное хозяйство, на обрабатывающее производство 7% (17 должников банкротов) и 14% (10 должника-банкрота) на остальные виды деятельности.</w:t>
      </w:r>
    </w:p>
    <w:p w:rsidR="00241945" w:rsidRPr="003A50E8" w:rsidRDefault="00241945" w:rsidP="00241945">
      <w:pPr>
        <w:suppressAutoHyphens/>
        <w:ind w:firstLine="709"/>
        <w:jc w:val="both"/>
        <w:rPr>
          <w:b/>
          <w:sz w:val="28"/>
          <w:szCs w:val="28"/>
        </w:rPr>
      </w:pPr>
      <w:r w:rsidRPr="003A50E8">
        <w:rPr>
          <w:b/>
          <w:sz w:val="28"/>
          <w:szCs w:val="28"/>
        </w:rPr>
        <w:t>Слайд №</w:t>
      </w:r>
      <w:r w:rsidR="00335538" w:rsidRPr="003A50E8">
        <w:rPr>
          <w:b/>
          <w:sz w:val="28"/>
          <w:szCs w:val="28"/>
        </w:rPr>
        <w:t>5</w:t>
      </w:r>
      <w:r w:rsidRPr="003A50E8">
        <w:rPr>
          <w:b/>
          <w:sz w:val="28"/>
          <w:szCs w:val="28"/>
        </w:rPr>
        <w:t>.</w:t>
      </w:r>
    </w:p>
    <w:p w:rsidR="00BE68EC" w:rsidRPr="003A50E8" w:rsidRDefault="00BE68EC" w:rsidP="00BE68EC">
      <w:pPr>
        <w:ind w:firstLine="709"/>
        <w:jc w:val="both"/>
        <w:rPr>
          <w:sz w:val="28"/>
          <w:szCs w:val="28"/>
        </w:rPr>
      </w:pPr>
      <w:r w:rsidRPr="003A50E8">
        <w:rPr>
          <w:sz w:val="28"/>
          <w:szCs w:val="28"/>
        </w:rPr>
        <w:t xml:space="preserve">По результатам работы за 2019 год погашение задолженности в процедурах банкротства составляет 411,3 млн. рублей. </w:t>
      </w:r>
    </w:p>
    <w:p w:rsidR="002D7402" w:rsidRPr="003A50E8" w:rsidRDefault="002D7402" w:rsidP="002D7402">
      <w:pPr>
        <w:snapToGrid/>
        <w:ind w:firstLine="567"/>
        <w:jc w:val="both"/>
        <w:rPr>
          <w:b/>
          <w:sz w:val="28"/>
          <w:szCs w:val="28"/>
        </w:rPr>
      </w:pPr>
      <w:r w:rsidRPr="003A50E8">
        <w:rPr>
          <w:b/>
          <w:sz w:val="28"/>
          <w:szCs w:val="28"/>
        </w:rPr>
        <w:t>Слайд №</w:t>
      </w:r>
      <w:r w:rsidR="00335538" w:rsidRPr="003A50E8">
        <w:rPr>
          <w:b/>
          <w:sz w:val="28"/>
          <w:szCs w:val="28"/>
        </w:rPr>
        <w:t>6</w:t>
      </w:r>
      <w:r w:rsidRPr="003A50E8">
        <w:rPr>
          <w:b/>
          <w:sz w:val="28"/>
          <w:szCs w:val="28"/>
        </w:rPr>
        <w:t>.</w:t>
      </w:r>
    </w:p>
    <w:p w:rsidR="002D7402" w:rsidRPr="003A50E8" w:rsidRDefault="002D7402" w:rsidP="002D7402">
      <w:pPr>
        <w:snapToGrid/>
        <w:ind w:firstLine="567"/>
        <w:jc w:val="both"/>
        <w:rPr>
          <w:sz w:val="28"/>
          <w:szCs w:val="28"/>
        </w:rPr>
      </w:pPr>
      <w:r w:rsidRPr="003A50E8">
        <w:rPr>
          <w:sz w:val="28"/>
          <w:szCs w:val="28"/>
        </w:rPr>
        <w:t xml:space="preserve">Управлением сохраняется рост поступлений в бюджет РФ по должникам, имеющим признаки банкротства. </w:t>
      </w:r>
    </w:p>
    <w:p w:rsidR="002D7402" w:rsidRPr="003A50E8" w:rsidRDefault="002D7402" w:rsidP="002D7402">
      <w:pPr>
        <w:snapToGrid/>
        <w:ind w:firstLine="567"/>
        <w:jc w:val="both"/>
        <w:rPr>
          <w:sz w:val="28"/>
          <w:szCs w:val="28"/>
        </w:rPr>
      </w:pPr>
      <w:r w:rsidRPr="003A50E8">
        <w:rPr>
          <w:sz w:val="28"/>
          <w:szCs w:val="28"/>
        </w:rPr>
        <w:t xml:space="preserve">В 2019 году в бюджет РФ поступило на 57,1 млн. рублей (или на 16,1%) больше, чем в прошлом. Динамику поступлений за </w:t>
      </w:r>
      <w:proofErr w:type="gramStart"/>
      <w:r w:rsidRPr="003A50E8">
        <w:rPr>
          <w:sz w:val="28"/>
          <w:szCs w:val="28"/>
        </w:rPr>
        <w:t>последние</w:t>
      </w:r>
      <w:proofErr w:type="gramEnd"/>
      <w:r w:rsidRPr="003A50E8">
        <w:rPr>
          <w:sz w:val="28"/>
          <w:szCs w:val="28"/>
        </w:rPr>
        <w:t xml:space="preserve"> 4 года можно увидеть на слайде.</w:t>
      </w:r>
    </w:p>
    <w:p w:rsidR="00BE68EC" w:rsidRPr="003A50E8" w:rsidRDefault="00BE68EC" w:rsidP="003A4547">
      <w:pPr>
        <w:ind w:firstLine="709"/>
        <w:jc w:val="both"/>
        <w:rPr>
          <w:sz w:val="28"/>
          <w:szCs w:val="28"/>
        </w:rPr>
      </w:pPr>
    </w:p>
    <w:p w:rsidR="00151A73" w:rsidRPr="003A50E8" w:rsidRDefault="00335538" w:rsidP="003A4547">
      <w:pPr>
        <w:ind w:firstLine="709"/>
        <w:jc w:val="both"/>
        <w:rPr>
          <w:b/>
          <w:sz w:val="28"/>
          <w:szCs w:val="28"/>
        </w:rPr>
      </w:pPr>
      <w:r w:rsidRPr="003A50E8">
        <w:rPr>
          <w:b/>
          <w:sz w:val="28"/>
          <w:szCs w:val="28"/>
        </w:rPr>
        <w:t>Слайд №7</w:t>
      </w:r>
      <w:r w:rsidR="00151A73" w:rsidRPr="003A50E8">
        <w:rPr>
          <w:b/>
          <w:sz w:val="28"/>
          <w:szCs w:val="28"/>
        </w:rPr>
        <w:t>.</w:t>
      </w:r>
    </w:p>
    <w:p w:rsidR="003A4547" w:rsidRPr="003A50E8" w:rsidRDefault="003A4547" w:rsidP="003A4547">
      <w:pPr>
        <w:ind w:firstLine="709"/>
        <w:jc w:val="both"/>
        <w:rPr>
          <w:sz w:val="28"/>
          <w:szCs w:val="28"/>
        </w:rPr>
      </w:pPr>
      <w:r w:rsidRPr="003A50E8">
        <w:rPr>
          <w:sz w:val="28"/>
          <w:szCs w:val="28"/>
        </w:rPr>
        <w:t xml:space="preserve">В последние годы в России выявляется огромное количество организаций, не способных приспособиться к быстроменяющимся рыночным условиям, что проявляется в их экономической несостоятельности, неплатежеспособности, других негативных проявлениях, обусловленных их неспособностью исполнения своих </w:t>
      </w:r>
      <w:proofErr w:type="gramStart"/>
      <w:r w:rsidRPr="003A50E8">
        <w:rPr>
          <w:sz w:val="28"/>
          <w:szCs w:val="28"/>
        </w:rPr>
        <w:t>обязательств</w:t>
      </w:r>
      <w:proofErr w:type="gramEnd"/>
      <w:r w:rsidRPr="003A50E8">
        <w:rPr>
          <w:sz w:val="28"/>
          <w:szCs w:val="28"/>
        </w:rPr>
        <w:t xml:space="preserve"> как перед государством, так и перед другими контрагентами, что приводит, в конечном итоге, к их банкротству с ликвидацией не только юридического лица, но и всего бизнеса.</w:t>
      </w:r>
    </w:p>
    <w:p w:rsidR="003A4547" w:rsidRPr="003A50E8" w:rsidRDefault="003A4547" w:rsidP="003A4547">
      <w:pPr>
        <w:pStyle w:val="ab"/>
        <w:spacing w:before="0" w:beforeAutospacing="0" w:after="0" w:afterAutospacing="0"/>
        <w:ind w:firstLine="709"/>
        <w:jc w:val="both"/>
        <w:textAlignment w:val="top"/>
        <w:rPr>
          <w:sz w:val="28"/>
          <w:szCs w:val="28"/>
        </w:rPr>
      </w:pPr>
      <w:r w:rsidRPr="003A50E8">
        <w:rPr>
          <w:sz w:val="28"/>
          <w:szCs w:val="28"/>
        </w:rPr>
        <w:t>Процесс несостоятельности (банкротства) в российской практике представляет собой установленную законом процедуру исключения из гражданского оборота неэффективных субъектов предпринимательской деятельности, а также восстановления финансового состояния должников в случае наступления в их деятельности временных экономических трудностей. Однако на практике нередки случаи, когда недобросовестные субъекты гражданско-правовых отношений, используя механизмы правового регулирования, предоставленные им законом, осуществляют комплекс различных мер, реализация которых направлена на удовлетворение личных корыстных интересов, что в итоге причиняет ущерб не только их партнерам, работникам, другим субъектам правоотношений, но и государству в целом. Такие негативные последствия имеют инициированные преднамеренные банкротства.</w:t>
      </w:r>
    </w:p>
    <w:p w:rsidR="003A4547" w:rsidRPr="003A50E8" w:rsidRDefault="003A4547" w:rsidP="003A4547">
      <w:pPr>
        <w:ind w:firstLine="709"/>
        <w:jc w:val="both"/>
        <w:rPr>
          <w:sz w:val="28"/>
          <w:szCs w:val="28"/>
        </w:rPr>
      </w:pPr>
      <w:r w:rsidRPr="003A50E8">
        <w:rPr>
          <w:sz w:val="28"/>
          <w:szCs w:val="28"/>
        </w:rPr>
        <w:t xml:space="preserve">Одним из самых распространенных заблуждений контролирующих лиц компаний является представление о том, что они рискуют только </w:t>
      </w:r>
      <w:r w:rsidRPr="003A50E8">
        <w:rPr>
          <w:sz w:val="28"/>
          <w:szCs w:val="28"/>
        </w:rPr>
        <w:lastRenderedPageBreak/>
        <w:t>имуществом в уставном капитале за долги организации при банкротстве юридического лица.</w:t>
      </w:r>
    </w:p>
    <w:p w:rsidR="003A4547" w:rsidRPr="003A50E8" w:rsidRDefault="003A4547" w:rsidP="003A4547">
      <w:pPr>
        <w:ind w:firstLine="709"/>
        <w:jc w:val="both"/>
        <w:rPr>
          <w:sz w:val="28"/>
          <w:szCs w:val="28"/>
        </w:rPr>
      </w:pPr>
      <w:proofErr w:type="gramStart"/>
      <w:r w:rsidRPr="003A50E8">
        <w:rPr>
          <w:sz w:val="28"/>
          <w:szCs w:val="28"/>
        </w:rPr>
        <w:t>Однако, как показывает практика, всем контролирующим должника лицам приходится сталкиваться с субсидиарной ответственностью, которая влечет за собой индивидуальную финансовую ответственность контролирующего должника лица, в размере всей непогашенной задолженности компании перед кредиторами Федеральный закон «О несостоятельности (банкротстве)» от 26.10.2002 №127-ФЗ (далее – Закон о банкротстве) и уголовную ответственность за незаконные действия при банкротстве, в том числе преднамеренное банкротство статья 196 Уголовного кодекса</w:t>
      </w:r>
      <w:proofErr w:type="gramEnd"/>
      <w:r w:rsidRPr="003A50E8">
        <w:rPr>
          <w:sz w:val="28"/>
          <w:szCs w:val="28"/>
        </w:rPr>
        <w:t xml:space="preserve"> Российской федерации (далее–УК РФ).</w:t>
      </w:r>
    </w:p>
    <w:p w:rsidR="003A4547" w:rsidRPr="003A50E8" w:rsidRDefault="003A4547" w:rsidP="003A4547">
      <w:pPr>
        <w:ind w:firstLine="709"/>
        <w:jc w:val="both"/>
        <w:rPr>
          <w:sz w:val="28"/>
          <w:szCs w:val="28"/>
        </w:rPr>
      </w:pPr>
      <w:r w:rsidRPr="003A50E8">
        <w:rPr>
          <w:sz w:val="28"/>
          <w:szCs w:val="28"/>
        </w:rPr>
        <w:t>Привлечение к субсидиарной ответственности контролирующего должника лица за доведение до банкротства сопровождается сложным процессом доказывания, наличие приговора по статье 196 УК РФ на момент рассмотрения заявления о привлечении контролирующего должника лица к субсидиарной ответственности является неопровержимым доказательством такового и влечет к возможному удовлетворению требований кредиторов путем привлечения к субсидиарной ответственности.</w:t>
      </w:r>
    </w:p>
    <w:p w:rsidR="003A4547" w:rsidRPr="003A50E8" w:rsidRDefault="003A4547" w:rsidP="003A4547">
      <w:pPr>
        <w:ind w:firstLine="709"/>
        <w:jc w:val="both"/>
        <w:rPr>
          <w:sz w:val="28"/>
          <w:szCs w:val="28"/>
        </w:rPr>
      </w:pPr>
      <w:r w:rsidRPr="003A50E8">
        <w:rPr>
          <w:sz w:val="28"/>
          <w:szCs w:val="28"/>
        </w:rPr>
        <w:t>Кроме того, в практике встречаются и такие контролирующие должника лица, которые в полном объеме осведомлены о существующей ответственности при банкротстве, однако применяют схемы для обхода таковых.</w:t>
      </w:r>
    </w:p>
    <w:p w:rsidR="003A4547" w:rsidRPr="003A50E8" w:rsidRDefault="003A4547" w:rsidP="003A4547">
      <w:pPr>
        <w:autoSpaceDE w:val="0"/>
        <w:autoSpaceDN w:val="0"/>
        <w:adjustRightInd w:val="0"/>
        <w:snapToGrid/>
        <w:ind w:firstLine="709"/>
        <w:jc w:val="both"/>
        <w:rPr>
          <w:sz w:val="28"/>
          <w:szCs w:val="28"/>
          <w:highlight w:val="yellow"/>
        </w:rPr>
      </w:pPr>
      <w:r w:rsidRPr="003A50E8">
        <w:rPr>
          <w:sz w:val="28"/>
          <w:szCs w:val="28"/>
        </w:rPr>
        <w:t>Целью налогового органа является изменение модели поведения налогоплательщика и привлечение к ответственности действительно виновных лиц.</w:t>
      </w:r>
    </w:p>
    <w:p w:rsidR="00053692" w:rsidRPr="003A50E8" w:rsidRDefault="00053692" w:rsidP="00053692">
      <w:pPr>
        <w:pStyle w:val="a5"/>
        <w:ind w:firstLine="709"/>
        <w:jc w:val="both"/>
        <w:rPr>
          <w:szCs w:val="28"/>
        </w:rPr>
      </w:pPr>
      <w:r w:rsidRPr="003A50E8">
        <w:rPr>
          <w:szCs w:val="28"/>
        </w:rPr>
        <w:t>Преступление</w:t>
      </w:r>
      <w:r w:rsidR="003A4547" w:rsidRPr="003A50E8">
        <w:rPr>
          <w:szCs w:val="28"/>
        </w:rPr>
        <w:t>, предусмотренное ст. 196 УК РФ,</w:t>
      </w:r>
      <w:r w:rsidRPr="003A50E8">
        <w:rPr>
          <w:szCs w:val="28"/>
        </w:rPr>
        <w:t xml:space="preserve"> выражается в действиях (бездействии), заведомо влекущих неспособность юридического лица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которые впоследствии причинили вред в виде крупного ущерба.</w:t>
      </w:r>
    </w:p>
    <w:p w:rsidR="001F26D7" w:rsidRPr="003A50E8" w:rsidRDefault="001F26D7" w:rsidP="001F26D7">
      <w:pPr>
        <w:pStyle w:val="a5"/>
        <w:ind w:firstLine="709"/>
        <w:jc w:val="both"/>
        <w:rPr>
          <w:szCs w:val="28"/>
        </w:rPr>
      </w:pPr>
      <w:r w:rsidRPr="003A50E8">
        <w:rPr>
          <w:szCs w:val="28"/>
        </w:rPr>
        <w:t>Непосредственным объектом преступления, предусмотренного статьей 196 УК РФ, является установленный порядок признания должника несостоятельным (банкротом), интересы кредиторов.</w:t>
      </w:r>
    </w:p>
    <w:p w:rsidR="00053692" w:rsidRPr="003A50E8" w:rsidRDefault="00053692" w:rsidP="00053692">
      <w:pPr>
        <w:pStyle w:val="a5"/>
        <w:ind w:firstLine="709"/>
        <w:jc w:val="both"/>
        <w:rPr>
          <w:szCs w:val="28"/>
        </w:rPr>
      </w:pPr>
      <w:r w:rsidRPr="003A50E8">
        <w:rPr>
          <w:szCs w:val="28"/>
        </w:rPr>
        <w:t>В статье 196 УК РФ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w:t>
      </w:r>
    </w:p>
    <w:p w:rsidR="00053692" w:rsidRPr="003A50E8" w:rsidRDefault="00053692" w:rsidP="00053692">
      <w:pPr>
        <w:pStyle w:val="a5"/>
        <w:ind w:firstLine="709"/>
        <w:jc w:val="both"/>
        <w:rPr>
          <w:szCs w:val="28"/>
        </w:rPr>
      </w:pPr>
      <w:r w:rsidRPr="003A50E8">
        <w:rPr>
          <w:szCs w:val="28"/>
        </w:rPr>
        <w:t>Под действиями, заведомо влекущими неспособность удовлетворить требования кредиторов, понимаются умышленное деяние, направленное на возникновение или увеличение неплатежеспособности юридического лица или индивидуального предпринимателя.</w:t>
      </w:r>
    </w:p>
    <w:p w:rsidR="00053692" w:rsidRPr="003A50E8" w:rsidRDefault="00053692" w:rsidP="00053692">
      <w:pPr>
        <w:pStyle w:val="a5"/>
        <w:ind w:firstLine="709"/>
        <w:jc w:val="both"/>
        <w:rPr>
          <w:szCs w:val="28"/>
        </w:rPr>
      </w:pPr>
      <w:r w:rsidRPr="003A50E8">
        <w:rPr>
          <w:szCs w:val="28"/>
        </w:rPr>
        <w:t xml:space="preserve">Под неплатежеспособностью понимается прекращение исполнения должником части денежных обязательств или обязанностей по уплате </w:t>
      </w:r>
      <w:r w:rsidRPr="003A50E8">
        <w:rPr>
          <w:szCs w:val="28"/>
        </w:rPr>
        <w:lastRenderedPageBreak/>
        <w:t>обязательных платежей, вызванное недостаточностью денежных средств (статья 2 Закона о банкротстве).</w:t>
      </w:r>
    </w:p>
    <w:p w:rsidR="00053692" w:rsidRPr="003A50E8" w:rsidRDefault="00053692" w:rsidP="00053692">
      <w:pPr>
        <w:pStyle w:val="a5"/>
        <w:ind w:firstLine="709"/>
        <w:jc w:val="both"/>
        <w:rPr>
          <w:szCs w:val="28"/>
        </w:rPr>
      </w:pPr>
      <w:r w:rsidRPr="003A50E8">
        <w:rPr>
          <w:szCs w:val="28"/>
        </w:rPr>
        <w:t xml:space="preserve">Причины ухудшения финансового положения заключаются в совершении определенных сделок и действий (бездействии) органов управления юридического лица, индивидуального предпринимателя или гражданина. </w:t>
      </w:r>
      <w:proofErr w:type="gramStart"/>
      <w:r w:rsidRPr="003A50E8">
        <w:rPr>
          <w:szCs w:val="28"/>
        </w:rPr>
        <w:t>Например: 1) заключение на условиях, не соответствующих рыночным и обычаям делового оборота, сделок: а) по отчуждению имущества; б) направленных на замещение или приобретение имущества менее ликвидного; в) купли-продажи имущества, без которого невозможна основная деятельность; г) связанных с возникновением обязательств, не обеспеченных имуществом; д) по замене одних обязательств другими, заключенными на заведомо невыгодных условиях;</w:t>
      </w:r>
      <w:proofErr w:type="gramEnd"/>
      <w:r w:rsidRPr="003A50E8">
        <w:rPr>
          <w:szCs w:val="28"/>
        </w:rPr>
        <w:t xml:space="preserve"> 2) непринятие мер для взыскания дебиторской задолженности.</w:t>
      </w:r>
    </w:p>
    <w:p w:rsidR="00053692" w:rsidRPr="003A50E8" w:rsidRDefault="00053692" w:rsidP="00053692">
      <w:pPr>
        <w:pStyle w:val="a5"/>
        <w:ind w:firstLine="709"/>
        <w:jc w:val="both"/>
        <w:rPr>
          <w:szCs w:val="28"/>
        </w:rPr>
      </w:pPr>
      <w:r w:rsidRPr="003A50E8">
        <w:rPr>
          <w:szCs w:val="28"/>
        </w:rPr>
        <w:t>Создание или увеличение неплатежеспособности должны повлечь за собой отсутствие возможности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053692" w:rsidRPr="003A50E8" w:rsidRDefault="00053692" w:rsidP="00053692">
      <w:pPr>
        <w:pStyle w:val="a5"/>
        <w:ind w:firstLine="709"/>
        <w:jc w:val="both"/>
        <w:rPr>
          <w:szCs w:val="28"/>
        </w:rPr>
      </w:pPr>
      <w:r w:rsidRPr="003A50E8">
        <w:rPr>
          <w:szCs w:val="28"/>
        </w:rPr>
        <w:t xml:space="preserve">Так, </w:t>
      </w:r>
      <w:r w:rsidR="006C3662" w:rsidRPr="003A50E8">
        <w:rPr>
          <w:szCs w:val="28"/>
        </w:rPr>
        <w:t xml:space="preserve">арбитражным управляющим или сотрудником налогового органа в рамках возбужденного дела о банкротстве должника </w:t>
      </w:r>
      <w:r w:rsidRPr="003A50E8">
        <w:rPr>
          <w:szCs w:val="28"/>
        </w:rPr>
        <w:t>может быть установлено, что руководитель организации-должника, используя свои полномочия, заключил заведомо невыгодные сделки, тем самым увеличил кредиторскую задолженность и создал неплатежеспособность организации с целью ее банкротства.</w:t>
      </w:r>
    </w:p>
    <w:p w:rsidR="006C3662" w:rsidRPr="003A50E8" w:rsidRDefault="00053692" w:rsidP="006C3662">
      <w:pPr>
        <w:pStyle w:val="a5"/>
        <w:ind w:firstLine="709"/>
        <w:jc w:val="both"/>
        <w:rPr>
          <w:szCs w:val="28"/>
        </w:rPr>
      </w:pPr>
      <w:r w:rsidRPr="003A50E8">
        <w:rPr>
          <w:szCs w:val="28"/>
        </w:rPr>
        <w:t>Для определения признаков преднамеренного банкротства проводится соответствующая эксперти</w:t>
      </w:r>
      <w:r w:rsidR="006C3662" w:rsidRPr="003A50E8">
        <w:rPr>
          <w:szCs w:val="28"/>
        </w:rPr>
        <w:t>за или иная</w:t>
      </w:r>
      <w:bookmarkStart w:id="0" w:name="_GoBack"/>
      <w:bookmarkEnd w:id="0"/>
      <w:r w:rsidR="006C3662" w:rsidRPr="003A50E8">
        <w:rPr>
          <w:szCs w:val="28"/>
        </w:rPr>
        <w:t xml:space="preserve"> проверка.</w:t>
      </w:r>
    </w:p>
    <w:p w:rsidR="00053692" w:rsidRPr="003A50E8" w:rsidRDefault="006C3662" w:rsidP="00053692">
      <w:pPr>
        <w:pStyle w:val="a5"/>
        <w:ind w:firstLine="709"/>
        <w:jc w:val="both"/>
        <w:rPr>
          <w:szCs w:val="28"/>
        </w:rPr>
      </w:pPr>
      <w:r w:rsidRPr="003A50E8">
        <w:rPr>
          <w:szCs w:val="28"/>
        </w:rPr>
        <w:t xml:space="preserve">Порядок проведения проверки утвержден </w:t>
      </w:r>
      <w:r w:rsidR="00053692" w:rsidRPr="003A50E8">
        <w:rPr>
          <w:szCs w:val="28"/>
        </w:rPr>
        <w:t>Постановление</w:t>
      </w:r>
      <w:r w:rsidRPr="003A50E8">
        <w:rPr>
          <w:szCs w:val="28"/>
        </w:rPr>
        <w:t>м</w:t>
      </w:r>
      <w:r w:rsidR="00053692" w:rsidRPr="003A50E8">
        <w:rPr>
          <w:szCs w:val="28"/>
        </w:rPr>
        <w:t xml:space="preserve"> Правительства РФ от 27 декабря 2004 г. N 855 "Об утверждении Временных правил проверки арбитражным управляющим наличия признаков фиктивного и преднамеренного банкротства".</w:t>
      </w:r>
    </w:p>
    <w:p w:rsidR="00053692" w:rsidRPr="003A50E8" w:rsidRDefault="00053692" w:rsidP="00053692">
      <w:pPr>
        <w:pStyle w:val="a5"/>
        <w:ind w:firstLine="709"/>
        <w:jc w:val="both"/>
        <w:rPr>
          <w:szCs w:val="28"/>
        </w:rPr>
      </w:pPr>
      <w:r w:rsidRPr="003A50E8">
        <w:rPr>
          <w:szCs w:val="28"/>
        </w:rPr>
        <w:t>Деяние является оконченным в момент причинения крупного ущерба кредиторам.</w:t>
      </w:r>
    </w:p>
    <w:p w:rsidR="006C3662" w:rsidRPr="003A50E8" w:rsidRDefault="00053692" w:rsidP="00053692">
      <w:pPr>
        <w:pStyle w:val="a5"/>
        <w:ind w:firstLine="709"/>
        <w:jc w:val="both"/>
        <w:rPr>
          <w:szCs w:val="28"/>
        </w:rPr>
      </w:pPr>
      <w:r w:rsidRPr="003A50E8">
        <w:rPr>
          <w:szCs w:val="28"/>
        </w:rPr>
        <w:t>Субъективная сторона преступления характеризуется виной в виде прямого умысла. Лицо осознает, что совершает деяние, влекущее неспособность юридического лица</w:t>
      </w:r>
      <w:r w:rsidR="006C3662" w:rsidRPr="003A50E8">
        <w:rPr>
          <w:szCs w:val="28"/>
        </w:rPr>
        <w:t>,</w:t>
      </w:r>
      <w:r w:rsidRPr="003A50E8">
        <w:rPr>
          <w:szCs w:val="28"/>
        </w:rPr>
        <w:t xml:space="preserve"> индивидуального предпринимателя</w:t>
      </w:r>
      <w:r w:rsidR="006C3662" w:rsidRPr="003A50E8">
        <w:rPr>
          <w:szCs w:val="28"/>
        </w:rPr>
        <w:t xml:space="preserve"> или гражданина</w:t>
      </w:r>
      <w:r w:rsidRPr="003A50E8">
        <w:rPr>
          <w:szCs w:val="28"/>
        </w:rPr>
        <w:t xml:space="preserve"> в полном объеме удовлетворить требования кредиторов по денежным обязательствам и (или) исполнить обязанность по уплате обязательных платежей, предвидит возможность или неизбежность причинения крупного ущерба кредиторам, и желает этого.</w:t>
      </w:r>
    </w:p>
    <w:p w:rsidR="00053692" w:rsidRPr="003A50E8" w:rsidRDefault="00053692" w:rsidP="00053692">
      <w:pPr>
        <w:pStyle w:val="a5"/>
        <w:ind w:firstLine="709"/>
        <w:jc w:val="both"/>
        <w:rPr>
          <w:szCs w:val="28"/>
        </w:rPr>
      </w:pPr>
      <w:r w:rsidRPr="003A50E8">
        <w:rPr>
          <w:szCs w:val="28"/>
        </w:rPr>
        <w:t>Целями совершения данного преступления являются: завладение за бесценок имуществом обанкротившегося предприятия; не выполнение обязательства, поскольку требования кредиторов, не удовлетворенные из-за недостаточности имущества ликвидируемого юридического лица, считаются погашенными (статья 64 ГК РФ) и т.д.</w:t>
      </w:r>
    </w:p>
    <w:p w:rsidR="00053692" w:rsidRPr="003A50E8" w:rsidRDefault="00053692" w:rsidP="00053692">
      <w:pPr>
        <w:pStyle w:val="a5"/>
        <w:ind w:firstLine="709"/>
        <w:jc w:val="both"/>
        <w:rPr>
          <w:szCs w:val="28"/>
        </w:rPr>
      </w:pPr>
      <w:r w:rsidRPr="003A50E8">
        <w:rPr>
          <w:szCs w:val="28"/>
        </w:rPr>
        <w:lastRenderedPageBreak/>
        <w:t>Субъект</w:t>
      </w:r>
      <w:r w:rsidR="001F26D7" w:rsidRPr="003A50E8">
        <w:rPr>
          <w:szCs w:val="28"/>
        </w:rPr>
        <w:t>ом</w:t>
      </w:r>
      <w:r w:rsidRPr="003A50E8">
        <w:rPr>
          <w:szCs w:val="28"/>
        </w:rPr>
        <w:t xml:space="preserve"> преступления являются руководитель или учредитель (участник) юридического лица, индивидуальный предприниматель, </w:t>
      </w:r>
      <w:r w:rsidR="00D53F09" w:rsidRPr="003A50E8">
        <w:rPr>
          <w:szCs w:val="28"/>
        </w:rPr>
        <w:t xml:space="preserve">а также гражданин </w:t>
      </w:r>
      <w:r w:rsidRPr="003A50E8">
        <w:rPr>
          <w:szCs w:val="28"/>
        </w:rPr>
        <w:t>достигшие возраста 16 лет.</w:t>
      </w:r>
    </w:p>
    <w:p w:rsidR="00053692" w:rsidRPr="003A50E8" w:rsidRDefault="00D53F09" w:rsidP="00053692">
      <w:pPr>
        <w:pStyle w:val="a5"/>
        <w:ind w:firstLine="709"/>
        <w:jc w:val="both"/>
        <w:rPr>
          <w:szCs w:val="28"/>
        </w:rPr>
      </w:pPr>
      <w:proofErr w:type="gramStart"/>
      <w:r w:rsidRPr="003A50E8">
        <w:rPr>
          <w:szCs w:val="28"/>
        </w:rPr>
        <w:t>Лицо, признанное виновным по ст. 196 УК РФ,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w:t>
      </w:r>
      <w:proofErr w:type="gramEnd"/>
      <w:r w:rsidRPr="003A50E8">
        <w:rPr>
          <w:szCs w:val="28"/>
        </w:rPr>
        <w:t xml:space="preserve"> или в размере заработной платы или иного дохода осужденного за период до восемнадцати месяцев либо без такового.</w:t>
      </w:r>
    </w:p>
    <w:p w:rsidR="00A56482" w:rsidRPr="003A50E8" w:rsidRDefault="00A56482" w:rsidP="00A56482">
      <w:pPr>
        <w:pStyle w:val="a5"/>
        <w:ind w:firstLine="709"/>
        <w:jc w:val="both"/>
        <w:rPr>
          <w:szCs w:val="28"/>
        </w:rPr>
      </w:pPr>
      <w:r w:rsidRPr="003A50E8">
        <w:rPr>
          <w:szCs w:val="28"/>
        </w:rPr>
        <w:t>Кроме того, к лицу признанным виновным может быть предъявлен гражданский иск о взыскании ущерба, причиненного преступлением.</w:t>
      </w:r>
    </w:p>
    <w:p w:rsidR="000F4640" w:rsidRPr="003A50E8" w:rsidRDefault="00F27682" w:rsidP="00F27682">
      <w:pPr>
        <w:pStyle w:val="a5"/>
        <w:ind w:firstLine="709"/>
        <w:jc w:val="both"/>
        <w:rPr>
          <w:szCs w:val="28"/>
        </w:rPr>
      </w:pPr>
      <w:r w:rsidRPr="003A50E8">
        <w:rPr>
          <w:szCs w:val="28"/>
        </w:rPr>
        <w:t xml:space="preserve">Следует отметить, что </w:t>
      </w:r>
      <w:r w:rsidR="000F4640" w:rsidRPr="003A50E8">
        <w:rPr>
          <w:szCs w:val="28"/>
        </w:rPr>
        <w:t xml:space="preserve">для налогового органа </w:t>
      </w:r>
      <w:r w:rsidRPr="003A50E8">
        <w:rPr>
          <w:szCs w:val="28"/>
        </w:rPr>
        <w:t>мер</w:t>
      </w:r>
      <w:r w:rsidR="000F4640" w:rsidRPr="003A50E8">
        <w:rPr>
          <w:szCs w:val="28"/>
        </w:rPr>
        <w:t>а</w:t>
      </w:r>
      <w:r w:rsidRPr="003A50E8">
        <w:rPr>
          <w:szCs w:val="28"/>
        </w:rPr>
        <w:t xml:space="preserve"> по инициированию возбуждения уголовных дел </w:t>
      </w:r>
      <w:r w:rsidR="000F4640" w:rsidRPr="003A50E8">
        <w:rPr>
          <w:szCs w:val="28"/>
        </w:rPr>
        <w:t xml:space="preserve">является исключительной (не носит массовый характер). В 2019 году налоговыми органами области в правоохранительные органы по ст. 196 УК РФ направлено всего 3 материала. </w:t>
      </w:r>
    </w:p>
    <w:p w:rsidR="000F4640" w:rsidRPr="003A50E8" w:rsidRDefault="00151A73" w:rsidP="000F4640">
      <w:pPr>
        <w:pStyle w:val="a5"/>
        <w:ind w:firstLine="709"/>
        <w:jc w:val="both"/>
        <w:rPr>
          <w:b/>
          <w:szCs w:val="28"/>
        </w:rPr>
      </w:pPr>
      <w:r w:rsidRPr="003A50E8">
        <w:rPr>
          <w:b/>
          <w:szCs w:val="28"/>
        </w:rPr>
        <w:t>Слайд №</w:t>
      </w:r>
      <w:r w:rsidR="00335538" w:rsidRPr="003A50E8">
        <w:rPr>
          <w:b/>
          <w:szCs w:val="28"/>
        </w:rPr>
        <w:t>8</w:t>
      </w:r>
      <w:r w:rsidRPr="003A50E8">
        <w:rPr>
          <w:b/>
          <w:szCs w:val="28"/>
        </w:rPr>
        <w:t>.</w:t>
      </w:r>
    </w:p>
    <w:p w:rsidR="00502427" w:rsidRPr="003A50E8" w:rsidRDefault="00502427" w:rsidP="000F4640">
      <w:pPr>
        <w:pStyle w:val="a5"/>
        <w:ind w:firstLine="709"/>
        <w:jc w:val="both"/>
        <w:rPr>
          <w:szCs w:val="28"/>
        </w:rPr>
      </w:pPr>
      <w:r w:rsidRPr="003A50E8">
        <w:rPr>
          <w:szCs w:val="28"/>
        </w:rPr>
        <w:t>Целью налогового органа являются:</w:t>
      </w:r>
    </w:p>
    <w:p w:rsidR="000F4640" w:rsidRPr="003A50E8" w:rsidRDefault="00502427" w:rsidP="000F4640">
      <w:pPr>
        <w:pStyle w:val="a5"/>
        <w:ind w:firstLine="709"/>
        <w:jc w:val="both"/>
        <w:rPr>
          <w:szCs w:val="28"/>
        </w:rPr>
      </w:pPr>
      <w:r w:rsidRPr="003A50E8">
        <w:rPr>
          <w:szCs w:val="28"/>
        </w:rPr>
        <w:t>Пресечение схем ухода от налогообложения с помо</w:t>
      </w:r>
      <w:r w:rsidR="00A56482" w:rsidRPr="003A50E8">
        <w:rPr>
          <w:szCs w:val="28"/>
        </w:rPr>
        <w:t>щью криминального банкротства;</w:t>
      </w:r>
    </w:p>
    <w:p w:rsidR="000F4640" w:rsidRPr="003A50E8" w:rsidRDefault="000F4640" w:rsidP="000F4640">
      <w:pPr>
        <w:pStyle w:val="a5"/>
        <w:ind w:firstLine="709"/>
        <w:jc w:val="both"/>
        <w:rPr>
          <w:szCs w:val="28"/>
        </w:rPr>
      </w:pPr>
      <w:r w:rsidRPr="003A50E8">
        <w:rPr>
          <w:szCs w:val="28"/>
        </w:rPr>
        <w:t>- Изменение модели поведения налогоплательщика;</w:t>
      </w:r>
    </w:p>
    <w:p w:rsidR="000F4640" w:rsidRPr="003A50E8" w:rsidRDefault="000F4640" w:rsidP="000F4640">
      <w:pPr>
        <w:pStyle w:val="a5"/>
        <w:ind w:firstLine="709"/>
        <w:jc w:val="both"/>
        <w:rPr>
          <w:szCs w:val="28"/>
        </w:rPr>
      </w:pPr>
      <w:r w:rsidRPr="003A50E8">
        <w:rPr>
          <w:szCs w:val="28"/>
        </w:rPr>
        <w:t>- Привлечение к ответственности действительно виновного лица.</w:t>
      </w:r>
    </w:p>
    <w:p w:rsidR="006C3662" w:rsidRPr="003A50E8" w:rsidRDefault="006C3662" w:rsidP="00053692">
      <w:pPr>
        <w:pStyle w:val="a5"/>
        <w:ind w:firstLine="709"/>
        <w:jc w:val="both"/>
        <w:rPr>
          <w:szCs w:val="28"/>
        </w:rPr>
      </w:pPr>
    </w:p>
    <w:p w:rsidR="006C3662" w:rsidRPr="003A50E8" w:rsidRDefault="00A56482" w:rsidP="00053692">
      <w:pPr>
        <w:pStyle w:val="a5"/>
        <w:ind w:firstLine="709"/>
        <w:jc w:val="both"/>
        <w:rPr>
          <w:szCs w:val="28"/>
        </w:rPr>
      </w:pPr>
      <w:r w:rsidRPr="003A50E8">
        <w:rPr>
          <w:szCs w:val="28"/>
        </w:rPr>
        <w:t>Спасибо за внимание!!!</w:t>
      </w:r>
    </w:p>
    <w:sectPr w:rsidR="006C3662" w:rsidRPr="003A50E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00" w:rsidRDefault="00116C00" w:rsidP="00635B12">
      <w:r>
        <w:separator/>
      </w:r>
    </w:p>
  </w:endnote>
  <w:endnote w:type="continuationSeparator" w:id="0">
    <w:p w:rsidR="00116C00" w:rsidRDefault="00116C00" w:rsidP="0063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0779"/>
      <w:docPartObj>
        <w:docPartGallery w:val="Page Numbers (Bottom of Page)"/>
        <w:docPartUnique/>
      </w:docPartObj>
    </w:sdtPr>
    <w:sdtEndPr/>
    <w:sdtContent>
      <w:p w:rsidR="00241945" w:rsidRDefault="00241945">
        <w:pPr>
          <w:pStyle w:val="ac"/>
          <w:jc w:val="right"/>
        </w:pPr>
        <w:r>
          <w:fldChar w:fldCharType="begin"/>
        </w:r>
        <w:r>
          <w:instrText>PAGE   \* MERGEFORMAT</w:instrText>
        </w:r>
        <w:r>
          <w:fldChar w:fldCharType="separate"/>
        </w:r>
        <w:r w:rsidR="003A50E8">
          <w:rPr>
            <w:noProof/>
          </w:rPr>
          <w:t>5</w:t>
        </w:r>
        <w:r>
          <w:fldChar w:fldCharType="end"/>
        </w:r>
      </w:p>
    </w:sdtContent>
  </w:sdt>
  <w:p w:rsidR="00241945" w:rsidRDefault="002419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00" w:rsidRDefault="00116C00" w:rsidP="00635B12">
      <w:r>
        <w:separator/>
      </w:r>
    </w:p>
  </w:footnote>
  <w:footnote w:type="continuationSeparator" w:id="0">
    <w:p w:rsidR="00116C00" w:rsidRDefault="00116C00" w:rsidP="00635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BA7"/>
    <w:multiLevelType w:val="hybridMultilevel"/>
    <w:tmpl w:val="FAB0E4F0"/>
    <w:lvl w:ilvl="0" w:tplc="8E04C266">
      <w:start w:val="1"/>
      <w:numFmt w:val="bullet"/>
      <w:lvlText w:val="•"/>
      <w:lvlJc w:val="left"/>
      <w:pPr>
        <w:tabs>
          <w:tab w:val="num" w:pos="720"/>
        </w:tabs>
        <w:ind w:left="720" w:hanging="360"/>
      </w:pPr>
      <w:rPr>
        <w:rFonts w:ascii="Times New Roman" w:hAnsi="Times New Roman" w:hint="default"/>
      </w:rPr>
    </w:lvl>
    <w:lvl w:ilvl="1" w:tplc="3FCE21C4" w:tentative="1">
      <w:start w:val="1"/>
      <w:numFmt w:val="bullet"/>
      <w:lvlText w:val="•"/>
      <w:lvlJc w:val="left"/>
      <w:pPr>
        <w:tabs>
          <w:tab w:val="num" w:pos="1440"/>
        </w:tabs>
        <w:ind w:left="1440" w:hanging="360"/>
      </w:pPr>
      <w:rPr>
        <w:rFonts w:ascii="Times New Roman" w:hAnsi="Times New Roman" w:hint="default"/>
      </w:rPr>
    </w:lvl>
    <w:lvl w:ilvl="2" w:tplc="AEC8B0F4" w:tentative="1">
      <w:start w:val="1"/>
      <w:numFmt w:val="bullet"/>
      <w:lvlText w:val="•"/>
      <w:lvlJc w:val="left"/>
      <w:pPr>
        <w:tabs>
          <w:tab w:val="num" w:pos="2160"/>
        </w:tabs>
        <w:ind w:left="2160" w:hanging="360"/>
      </w:pPr>
      <w:rPr>
        <w:rFonts w:ascii="Times New Roman" w:hAnsi="Times New Roman" w:hint="default"/>
      </w:rPr>
    </w:lvl>
    <w:lvl w:ilvl="3" w:tplc="183C1520" w:tentative="1">
      <w:start w:val="1"/>
      <w:numFmt w:val="bullet"/>
      <w:lvlText w:val="•"/>
      <w:lvlJc w:val="left"/>
      <w:pPr>
        <w:tabs>
          <w:tab w:val="num" w:pos="2880"/>
        </w:tabs>
        <w:ind w:left="2880" w:hanging="360"/>
      </w:pPr>
      <w:rPr>
        <w:rFonts w:ascii="Times New Roman" w:hAnsi="Times New Roman" w:hint="default"/>
      </w:rPr>
    </w:lvl>
    <w:lvl w:ilvl="4" w:tplc="BEB6EE12" w:tentative="1">
      <w:start w:val="1"/>
      <w:numFmt w:val="bullet"/>
      <w:lvlText w:val="•"/>
      <w:lvlJc w:val="left"/>
      <w:pPr>
        <w:tabs>
          <w:tab w:val="num" w:pos="3600"/>
        </w:tabs>
        <w:ind w:left="3600" w:hanging="360"/>
      </w:pPr>
      <w:rPr>
        <w:rFonts w:ascii="Times New Roman" w:hAnsi="Times New Roman" w:hint="default"/>
      </w:rPr>
    </w:lvl>
    <w:lvl w:ilvl="5" w:tplc="E872FEB8" w:tentative="1">
      <w:start w:val="1"/>
      <w:numFmt w:val="bullet"/>
      <w:lvlText w:val="•"/>
      <w:lvlJc w:val="left"/>
      <w:pPr>
        <w:tabs>
          <w:tab w:val="num" w:pos="4320"/>
        </w:tabs>
        <w:ind w:left="4320" w:hanging="360"/>
      </w:pPr>
      <w:rPr>
        <w:rFonts w:ascii="Times New Roman" w:hAnsi="Times New Roman" w:hint="default"/>
      </w:rPr>
    </w:lvl>
    <w:lvl w:ilvl="6" w:tplc="6E705CE8" w:tentative="1">
      <w:start w:val="1"/>
      <w:numFmt w:val="bullet"/>
      <w:lvlText w:val="•"/>
      <w:lvlJc w:val="left"/>
      <w:pPr>
        <w:tabs>
          <w:tab w:val="num" w:pos="5040"/>
        </w:tabs>
        <w:ind w:left="5040" w:hanging="360"/>
      </w:pPr>
      <w:rPr>
        <w:rFonts w:ascii="Times New Roman" w:hAnsi="Times New Roman" w:hint="default"/>
      </w:rPr>
    </w:lvl>
    <w:lvl w:ilvl="7" w:tplc="ADBCBB5E" w:tentative="1">
      <w:start w:val="1"/>
      <w:numFmt w:val="bullet"/>
      <w:lvlText w:val="•"/>
      <w:lvlJc w:val="left"/>
      <w:pPr>
        <w:tabs>
          <w:tab w:val="num" w:pos="5760"/>
        </w:tabs>
        <w:ind w:left="5760" w:hanging="360"/>
      </w:pPr>
      <w:rPr>
        <w:rFonts w:ascii="Times New Roman" w:hAnsi="Times New Roman" w:hint="default"/>
      </w:rPr>
    </w:lvl>
    <w:lvl w:ilvl="8" w:tplc="7BFCFD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A1"/>
    <w:rsid w:val="000323A8"/>
    <w:rsid w:val="000342DC"/>
    <w:rsid w:val="00053692"/>
    <w:rsid w:val="000A6028"/>
    <w:rsid w:val="000D204B"/>
    <w:rsid w:val="000F4640"/>
    <w:rsid w:val="000F782A"/>
    <w:rsid w:val="00103E0B"/>
    <w:rsid w:val="00116C00"/>
    <w:rsid w:val="00124387"/>
    <w:rsid w:val="00140CD6"/>
    <w:rsid w:val="00142146"/>
    <w:rsid w:val="00151A73"/>
    <w:rsid w:val="00152196"/>
    <w:rsid w:val="001557BF"/>
    <w:rsid w:val="0016640E"/>
    <w:rsid w:val="001939B6"/>
    <w:rsid w:val="001A6D52"/>
    <w:rsid w:val="001B0D49"/>
    <w:rsid w:val="001C2EA1"/>
    <w:rsid w:val="001E283E"/>
    <w:rsid w:val="001F26D7"/>
    <w:rsid w:val="00204FA7"/>
    <w:rsid w:val="00241945"/>
    <w:rsid w:val="00260978"/>
    <w:rsid w:val="002640FB"/>
    <w:rsid w:val="00267151"/>
    <w:rsid w:val="002B1742"/>
    <w:rsid w:val="002D7402"/>
    <w:rsid w:val="002F23A2"/>
    <w:rsid w:val="00304000"/>
    <w:rsid w:val="00317B4B"/>
    <w:rsid w:val="00335538"/>
    <w:rsid w:val="00373772"/>
    <w:rsid w:val="003A4547"/>
    <w:rsid w:val="003A50E8"/>
    <w:rsid w:val="003C334C"/>
    <w:rsid w:val="003E561B"/>
    <w:rsid w:val="00434FDD"/>
    <w:rsid w:val="004454EF"/>
    <w:rsid w:val="00452D2E"/>
    <w:rsid w:val="00475485"/>
    <w:rsid w:val="00477419"/>
    <w:rsid w:val="004A0EEA"/>
    <w:rsid w:val="004C22C0"/>
    <w:rsid w:val="00502427"/>
    <w:rsid w:val="00507E96"/>
    <w:rsid w:val="0054623D"/>
    <w:rsid w:val="005B5F9C"/>
    <w:rsid w:val="005D12DD"/>
    <w:rsid w:val="005D3E9D"/>
    <w:rsid w:val="005E7306"/>
    <w:rsid w:val="005F336D"/>
    <w:rsid w:val="00607956"/>
    <w:rsid w:val="0062359B"/>
    <w:rsid w:val="0062373E"/>
    <w:rsid w:val="00635B12"/>
    <w:rsid w:val="00651FB2"/>
    <w:rsid w:val="006C35E4"/>
    <w:rsid w:val="006C3662"/>
    <w:rsid w:val="006C5CA1"/>
    <w:rsid w:val="006D4A09"/>
    <w:rsid w:val="00706F14"/>
    <w:rsid w:val="00744088"/>
    <w:rsid w:val="007776C4"/>
    <w:rsid w:val="00791D42"/>
    <w:rsid w:val="00797AA1"/>
    <w:rsid w:val="007B4696"/>
    <w:rsid w:val="007B738D"/>
    <w:rsid w:val="007C3D39"/>
    <w:rsid w:val="007D03A6"/>
    <w:rsid w:val="008B5ED6"/>
    <w:rsid w:val="008C2A7E"/>
    <w:rsid w:val="008D4595"/>
    <w:rsid w:val="00911B29"/>
    <w:rsid w:val="00912DBE"/>
    <w:rsid w:val="00932715"/>
    <w:rsid w:val="00950314"/>
    <w:rsid w:val="00955D44"/>
    <w:rsid w:val="009A40BA"/>
    <w:rsid w:val="009C66FE"/>
    <w:rsid w:val="009E730C"/>
    <w:rsid w:val="009F0B38"/>
    <w:rsid w:val="009F4AE4"/>
    <w:rsid w:val="00A3190C"/>
    <w:rsid w:val="00A43AF3"/>
    <w:rsid w:val="00A53ABD"/>
    <w:rsid w:val="00A56482"/>
    <w:rsid w:val="00A70C64"/>
    <w:rsid w:val="00AB2C60"/>
    <w:rsid w:val="00AE34E9"/>
    <w:rsid w:val="00B76F93"/>
    <w:rsid w:val="00B94DFD"/>
    <w:rsid w:val="00BE68EC"/>
    <w:rsid w:val="00C433D2"/>
    <w:rsid w:val="00C70EA9"/>
    <w:rsid w:val="00CF2D3A"/>
    <w:rsid w:val="00D45676"/>
    <w:rsid w:val="00D53F09"/>
    <w:rsid w:val="00DA3364"/>
    <w:rsid w:val="00DD4E6A"/>
    <w:rsid w:val="00E11244"/>
    <w:rsid w:val="00E21906"/>
    <w:rsid w:val="00E328AE"/>
    <w:rsid w:val="00E57743"/>
    <w:rsid w:val="00E73A04"/>
    <w:rsid w:val="00EC2F46"/>
    <w:rsid w:val="00F0585F"/>
    <w:rsid w:val="00F159F1"/>
    <w:rsid w:val="00F2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A1"/>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uiPriority w:val="9"/>
    <w:qFormat/>
    <w:rsid w:val="00AB2C60"/>
    <w:pPr>
      <w:snapToGri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E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F336D"/>
    <w:rPr>
      <w:rFonts w:ascii="Tahoma" w:hAnsi="Tahoma" w:cs="Tahoma"/>
      <w:sz w:val="16"/>
      <w:szCs w:val="16"/>
    </w:rPr>
  </w:style>
  <w:style w:type="character" w:customStyle="1" w:styleId="a4">
    <w:name w:val="Текст выноски Знак"/>
    <w:basedOn w:val="a0"/>
    <w:link w:val="a3"/>
    <w:uiPriority w:val="99"/>
    <w:semiHidden/>
    <w:rsid w:val="005F336D"/>
    <w:rPr>
      <w:rFonts w:ascii="Tahoma" w:eastAsia="Times New Roman" w:hAnsi="Tahoma" w:cs="Tahoma"/>
      <w:sz w:val="16"/>
      <w:szCs w:val="16"/>
      <w:lang w:eastAsia="ru-RU"/>
    </w:rPr>
  </w:style>
  <w:style w:type="paragraph" w:styleId="a5">
    <w:name w:val="header"/>
    <w:basedOn w:val="a"/>
    <w:link w:val="a6"/>
    <w:rsid w:val="00635B12"/>
    <w:pPr>
      <w:tabs>
        <w:tab w:val="center" w:pos="4677"/>
        <w:tab w:val="right" w:pos="9355"/>
      </w:tabs>
      <w:snapToGrid/>
    </w:pPr>
    <w:rPr>
      <w:sz w:val="28"/>
      <w:szCs w:val="24"/>
    </w:rPr>
  </w:style>
  <w:style w:type="character" w:customStyle="1" w:styleId="a6">
    <w:name w:val="Верхний колонтитул Знак"/>
    <w:basedOn w:val="a0"/>
    <w:link w:val="a5"/>
    <w:rsid w:val="00635B12"/>
    <w:rPr>
      <w:rFonts w:ascii="Times New Roman" w:eastAsia="Times New Roman" w:hAnsi="Times New Roman" w:cs="Times New Roman"/>
      <w:sz w:val="28"/>
      <w:szCs w:val="24"/>
      <w:lang w:eastAsia="ru-RU"/>
    </w:rPr>
  </w:style>
  <w:style w:type="paragraph" w:styleId="a7">
    <w:name w:val="footnote text"/>
    <w:basedOn w:val="a"/>
    <w:link w:val="a8"/>
    <w:uiPriority w:val="99"/>
    <w:semiHidden/>
    <w:rsid w:val="00635B12"/>
    <w:pPr>
      <w:snapToGrid/>
    </w:pPr>
    <w:rPr>
      <w:snapToGrid w:val="0"/>
      <w:sz w:val="20"/>
    </w:rPr>
  </w:style>
  <w:style w:type="character" w:customStyle="1" w:styleId="a8">
    <w:name w:val="Текст сноски Знак"/>
    <w:basedOn w:val="a0"/>
    <w:link w:val="a7"/>
    <w:uiPriority w:val="99"/>
    <w:semiHidden/>
    <w:rsid w:val="00635B12"/>
    <w:rPr>
      <w:rFonts w:ascii="Times New Roman" w:eastAsia="Times New Roman" w:hAnsi="Times New Roman" w:cs="Times New Roman"/>
      <w:snapToGrid w:val="0"/>
      <w:sz w:val="20"/>
      <w:szCs w:val="20"/>
      <w:lang w:eastAsia="ru-RU"/>
    </w:rPr>
  </w:style>
  <w:style w:type="character" w:styleId="a9">
    <w:name w:val="footnote reference"/>
    <w:uiPriority w:val="99"/>
    <w:semiHidden/>
    <w:rsid w:val="00635B12"/>
    <w:rPr>
      <w:vertAlign w:val="superscript"/>
    </w:rPr>
  </w:style>
  <w:style w:type="character" w:styleId="aa">
    <w:name w:val="Hyperlink"/>
    <w:uiPriority w:val="99"/>
    <w:unhideWhenUsed/>
    <w:rsid w:val="00635B12"/>
    <w:rPr>
      <w:color w:val="0000FF"/>
      <w:u w:val="single"/>
    </w:rPr>
  </w:style>
  <w:style w:type="character" w:customStyle="1" w:styleId="10">
    <w:name w:val="Заголовок 1 Знак"/>
    <w:basedOn w:val="a0"/>
    <w:link w:val="1"/>
    <w:uiPriority w:val="9"/>
    <w:rsid w:val="00AB2C60"/>
    <w:rPr>
      <w:rFonts w:ascii="Times New Roman" w:eastAsia="Times New Roman" w:hAnsi="Times New Roman" w:cs="Times New Roman"/>
      <w:b/>
      <w:bCs/>
      <w:kern w:val="36"/>
      <w:sz w:val="48"/>
      <w:szCs w:val="48"/>
      <w:lang w:eastAsia="ru-RU"/>
    </w:rPr>
  </w:style>
  <w:style w:type="character" w:customStyle="1" w:styleId="blk">
    <w:name w:val="blk"/>
    <w:basedOn w:val="a0"/>
    <w:rsid w:val="00AB2C60"/>
  </w:style>
  <w:style w:type="character" w:customStyle="1" w:styleId="hl">
    <w:name w:val="hl"/>
    <w:basedOn w:val="a0"/>
    <w:rsid w:val="00AB2C60"/>
  </w:style>
  <w:style w:type="character" w:customStyle="1" w:styleId="nobr">
    <w:name w:val="nobr"/>
    <w:basedOn w:val="a0"/>
    <w:rsid w:val="00AB2C60"/>
  </w:style>
  <w:style w:type="paragraph" w:styleId="ab">
    <w:name w:val="Normal (Web)"/>
    <w:basedOn w:val="a"/>
    <w:unhideWhenUsed/>
    <w:rsid w:val="00607956"/>
    <w:pPr>
      <w:snapToGrid/>
      <w:spacing w:before="100" w:beforeAutospacing="1" w:after="100" w:afterAutospacing="1"/>
    </w:pPr>
    <w:rPr>
      <w:sz w:val="24"/>
      <w:szCs w:val="24"/>
    </w:rPr>
  </w:style>
  <w:style w:type="paragraph" w:styleId="ac">
    <w:name w:val="footer"/>
    <w:basedOn w:val="a"/>
    <w:link w:val="ad"/>
    <w:uiPriority w:val="99"/>
    <w:unhideWhenUsed/>
    <w:rsid w:val="00241945"/>
    <w:pPr>
      <w:tabs>
        <w:tab w:val="center" w:pos="4677"/>
        <w:tab w:val="right" w:pos="9355"/>
      </w:tabs>
    </w:pPr>
  </w:style>
  <w:style w:type="character" w:customStyle="1" w:styleId="ad">
    <w:name w:val="Нижний колонтитул Знак"/>
    <w:basedOn w:val="a0"/>
    <w:link w:val="ac"/>
    <w:uiPriority w:val="99"/>
    <w:rsid w:val="00241945"/>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A1"/>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uiPriority w:val="9"/>
    <w:qFormat/>
    <w:rsid w:val="00AB2C60"/>
    <w:pPr>
      <w:snapToGri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E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F336D"/>
    <w:rPr>
      <w:rFonts w:ascii="Tahoma" w:hAnsi="Tahoma" w:cs="Tahoma"/>
      <w:sz w:val="16"/>
      <w:szCs w:val="16"/>
    </w:rPr>
  </w:style>
  <w:style w:type="character" w:customStyle="1" w:styleId="a4">
    <w:name w:val="Текст выноски Знак"/>
    <w:basedOn w:val="a0"/>
    <w:link w:val="a3"/>
    <w:uiPriority w:val="99"/>
    <w:semiHidden/>
    <w:rsid w:val="005F336D"/>
    <w:rPr>
      <w:rFonts w:ascii="Tahoma" w:eastAsia="Times New Roman" w:hAnsi="Tahoma" w:cs="Tahoma"/>
      <w:sz w:val="16"/>
      <w:szCs w:val="16"/>
      <w:lang w:eastAsia="ru-RU"/>
    </w:rPr>
  </w:style>
  <w:style w:type="paragraph" w:styleId="a5">
    <w:name w:val="header"/>
    <w:basedOn w:val="a"/>
    <w:link w:val="a6"/>
    <w:rsid w:val="00635B12"/>
    <w:pPr>
      <w:tabs>
        <w:tab w:val="center" w:pos="4677"/>
        <w:tab w:val="right" w:pos="9355"/>
      </w:tabs>
      <w:snapToGrid/>
    </w:pPr>
    <w:rPr>
      <w:sz w:val="28"/>
      <w:szCs w:val="24"/>
    </w:rPr>
  </w:style>
  <w:style w:type="character" w:customStyle="1" w:styleId="a6">
    <w:name w:val="Верхний колонтитул Знак"/>
    <w:basedOn w:val="a0"/>
    <w:link w:val="a5"/>
    <w:rsid w:val="00635B12"/>
    <w:rPr>
      <w:rFonts w:ascii="Times New Roman" w:eastAsia="Times New Roman" w:hAnsi="Times New Roman" w:cs="Times New Roman"/>
      <w:sz w:val="28"/>
      <w:szCs w:val="24"/>
      <w:lang w:eastAsia="ru-RU"/>
    </w:rPr>
  </w:style>
  <w:style w:type="paragraph" w:styleId="a7">
    <w:name w:val="footnote text"/>
    <w:basedOn w:val="a"/>
    <w:link w:val="a8"/>
    <w:uiPriority w:val="99"/>
    <w:semiHidden/>
    <w:rsid w:val="00635B12"/>
    <w:pPr>
      <w:snapToGrid/>
    </w:pPr>
    <w:rPr>
      <w:snapToGrid w:val="0"/>
      <w:sz w:val="20"/>
    </w:rPr>
  </w:style>
  <w:style w:type="character" w:customStyle="1" w:styleId="a8">
    <w:name w:val="Текст сноски Знак"/>
    <w:basedOn w:val="a0"/>
    <w:link w:val="a7"/>
    <w:uiPriority w:val="99"/>
    <w:semiHidden/>
    <w:rsid w:val="00635B12"/>
    <w:rPr>
      <w:rFonts w:ascii="Times New Roman" w:eastAsia="Times New Roman" w:hAnsi="Times New Roman" w:cs="Times New Roman"/>
      <w:snapToGrid w:val="0"/>
      <w:sz w:val="20"/>
      <w:szCs w:val="20"/>
      <w:lang w:eastAsia="ru-RU"/>
    </w:rPr>
  </w:style>
  <w:style w:type="character" w:styleId="a9">
    <w:name w:val="footnote reference"/>
    <w:uiPriority w:val="99"/>
    <w:semiHidden/>
    <w:rsid w:val="00635B12"/>
    <w:rPr>
      <w:vertAlign w:val="superscript"/>
    </w:rPr>
  </w:style>
  <w:style w:type="character" w:styleId="aa">
    <w:name w:val="Hyperlink"/>
    <w:uiPriority w:val="99"/>
    <w:unhideWhenUsed/>
    <w:rsid w:val="00635B12"/>
    <w:rPr>
      <w:color w:val="0000FF"/>
      <w:u w:val="single"/>
    </w:rPr>
  </w:style>
  <w:style w:type="character" w:customStyle="1" w:styleId="10">
    <w:name w:val="Заголовок 1 Знак"/>
    <w:basedOn w:val="a0"/>
    <w:link w:val="1"/>
    <w:uiPriority w:val="9"/>
    <w:rsid w:val="00AB2C60"/>
    <w:rPr>
      <w:rFonts w:ascii="Times New Roman" w:eastAsia="Times New Roman" w:hAnsi="Times New Roman" w:cs="Times New Roman"/>
      <w:b/>
      <w:bCs/>
      <w:kern w:val="36"/>
      <w:sz w:val="48"/>
      <w:szCs w:val="48"/>
      <w:lang w:eastAsia="ru-RU"/>
    </w:rPr>
  </w:style>
  <w:style w:type="character" w:customStyle="1" w:styleId="blk">
    <w:name w:val="blk"/>
    <w:basedOn w:val="a0"/>
    <w:rsid w:val="00AB2C60"/>
  </w:style>
  <w:style w:type="character" w:customStyle="1" w:styleId="hl">
    <w:name w:val="hl"/>
    <w:basedOn w:val="a0"/>
    <w:rsid w:val="00AB2C60"/>
  </w:style>
  <w:style w:type="character" w:customStyle="1" w:styleId="nobr">
    <w:name w:val="nobr"/>
    <w:basedOn w:val="a0"/>
    <w:rsid w:val="00AB2C60"/>
  </w:style>
  <w:style w:type="paragraph" w:styleId="ab">
    <w:name w:val="Normal (Web)"/>
    <w:basedOn w:val="a"/>
    <w:unhideWhenUsed/>
    <w:rsid w:val="00607956"/>
    <w:pPr>
      <w:snapToGrid/>
      <w:spacing w:before="100" w:beforeAutospacing="1" w:after="100" w:afterAutospacing="1"/>
    </w:pPr>
    <w:rPr>
      <w:sz w:val="24"/>
      <w:szCs w:val="24"/>
    </w:rPr>
  </w:style>
  <w:style w:type="paragraph" w:styleId="ac">
    <w:name w:val="footer"/>
    <w:basedOn w:val="a"/>
    <w:link w:val="ad"/>
    <w:uiPriority w:val="99"/>
    <w:unhideWhenUsed/>
    <w:rsid w:val="00241945"/>
    <w:pPr>
      <w:tabs>
        <w:tab w:val="center" w:pos="4677"/>
        <w:tab w:val="right" w:pos="9355"/>
      </w:tabs>
    </w:pPr>
  </w:style>
  <w:style w:type="character" w:customStyle="1" w:styleId="ad">
    <w:name w:val="Нижний колонтитул Знак"/>
    <w:basedOn w:val="a0"/>
    <w:link w:val="ac"/>
    <w:uiPriority w:val="99"/>
    <w:rsid w:val="00241945"/>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3311">
      <w:bodyDiv w:val="1"/>
      <w:marLeft w:val="0"/>
      <w:marRight w:val="0"/>
      <w:marTop w:val="0"/>
      <w:marBottom w:val="0"/>
      <w:divBdr>
        <w:top w:val="none" w:sz="0" w:space="0" w:color="auto"/>
        <w:left w:val="none" w:sz="0" w:space="0" w:color="auto"/>
        <w:bottom w:val="none" w:sz="0" w:space="0" w:color="auto"/>
        <w:right w:val="none" w:sz="0" w:space="0" w:color="auto"/>
      </w:divBdr>
      <w:divsChild>
        <w:div w:id="1007827620">
          <w:marLeft w:val="547"/>
          <w:marRight w:val="0"/>
          <w:marTop w:val="0"/>
          <w:marBottom w:val="0"/>
          <w:divBdr>
            <w:top w:val="none" w:sz="0" w:space="0" w:color="auto"/>
            <w:left w:val="none" w:sz="0" w:space="0" w:color="auto"/>
            <w:bottom w:val="none" w:sz="0" w:space="0" w:color="auto"/>
            <w:right w:val="none" w:sz="0" w:space="0" w:color="auto"/>
          </w:divBdr>
        </w:div>
        <w:div w:id="7946565">
          <w:marLeft w:val="547"/>
          <w:marRight w:val="0"/>
          <w:marTop w:val="0"/>
          <w:marBottom w:val="0"/>
          <w:divBdr>
            <w:top w:val="none" w:sz="0" w:space="0" w:color="auto"/>
            <w:left w:val="none" w:sz="0" w:space="0" w:color="auto"/>
            <w:bottom w:val="none" w:sz="0" w:space="0" w:color="auto"/>
            <w:right w:val="none" w:sz="0" w:space="0" w:color="auto"/>
          </w:divBdr>
        </w:div>
      </w:divsChild>
    </w:div>
    <w:div w:id="258221894">
      <w:bodyDiv w:val="1"/>
      <w:marLeft w:val="0"/>
      <w:marRight w:val="0"/>
      <w:marTop w:val="0"/>
      <w:marBottom w:val="0"/>
      <w:divBdr>
        <w:top w:val="none" w:sz="0" w:space="0" w:color="auto"/>
        <w:left w:val="none" w:sz="0" w:space="0" w:color="auto"/>
        <w:bottom w:val="none" w:sz="0" w:space="0" w:color="auto"/>
        <w:right w:val="none" w:sz="0" w:space="0" w:color="auto"/>
      </w:divBdr>
      <w:divsChild>
        <w:div w:id="79717199">
          <w:marLeft w:val="0"/>
          <w:marRight w:val="0"/>
          <w:marTop w:val="120"/>
          <w:marBottom w:val="0"/>
          <w:divBdr>
            <w:top w:val="none" w:sz="0" w:space="0" w:color="auto"/>
            <w:left w:val="none" w:sz="0" w:space="0" w:color="auto"/>
            <w:bottom w:val="none" w:sz="0" w:space="0" w:color="auto"/>
            <w:right w:val="none" w:sz="0" w:space="0" w:color="auto"/>
          </w:divBdr>
        </w:div>
        <w:div w:id="196281921">
          <w:marLeft w:val="0"/>
          <w:marRight w:val="0"/>
          <w:marTop w:val="120"/>
          <w:marBottom w:val="0"/>
          <w:divBdr>
            <w:top w:val="none" w:sz="0" w:space="0" w:color="auto"/>
            <w:left w:val="none" w:sz="0" w:space="0" w:color="auto"/>
            <w:bottom w:val="none" w:sz="0" w:space="0" w:color="auto"/>
            <w:right w:val="none" w:sz="0" w:space="0" w:color="auto"/>
          </w:divBdr>
        </w:div>
        <w:div w:id="430510663">
          <w:marLeft w:val="0"/>
          <w:marRight w:val="0"/>
          <w:marTop w:val="120"/>
          <w:marBottom w:val="96"/>
          <w:divBdr>
            <w:top w:val="none" w:sz="0" w:space="0" w:color="auto"/>
            <w:left w:val="single" w:sz="24" w:space="0" w:color="CED3F1"/>
            <w:bottom w:val="none" w:sz="0" w:space="0" w:color="auto"/>
            <w:right w:val="none" w:sz="0" w:space="0" w:color="auto"/>
          </w:divBdr>
        </w:div>
        <w:div w:id="445656307">
          <w:marLeft w:val="0"/>
          <w:marRight w:val="0"/>
          <w:marTop w:val="120"/>
          <w:marBottom w:val="0"/>
          <w:divBdr>
            <w:top w:val="none" w:sz="0" w:space="0" w:color="auto"/>
            <w:left w:val="none" w:sz="0" w:space="0" w:color="auto"/>
            <w:bottom w:val="none" w:sz="0" w:space="0" w:color="auto"/>
            <w:right w:val="none" w:sz="0" w:space="0" w:color="auto"/>
          </w:divBdr>
        </w:div>
        <w:div w:id="642202572">
          <w:marLeft w:val="0"/>
          <w:marRight w:val="0"/>
          <w:marTop w:val="120"/>
          <w:marBottom w:val="0"/>
          <w:divBdr>
            <w:top w:val="none" w:sz="0" w:space="0" w:color="auto"/>
            <w:left w:val="none" w:sz="0" w:space="0" w:color="auto"/>
            <w:bottom w:val="none" w:sz="0" w:space="0" w:color="auto"/>
            <w:right w:val="none" w:sz="0" w:space="0" w:color="auto"/>
          </w:divBdr>
        </w:div>
        <w:div w:id="933977407">
          <w:marLeft w:val="0"/>
          <w:marRight w:val="0"/>
          <w:marTop w:val="120"/>
          <w:marBottom w:val="0"/>
          <w:divBdr>
            <w:top w:val="none" w:sz="0" w:space="0" w:color="auto"/>
            <w:left w:val="none" w:sz="0" w:space="0" w:color="auto"/>
            <w:bottom w:val="none" w:sz="0" w:space="0" w:color="auto"/>
            <w:right w:val="none" w:sz="0" w:space="0" w:color="auto"/>
          </w:divBdr>
        </w:div>
        <w:div w:id="1000351731">
          <w:marLeft w:val="0"/>
          <w:marRight w:val="0"/>
          <w:marTop w:val="120"/>
          <w:marBottom w:val="0"/>
          <w:divBdr>
            <w:top w:val="none" w:sz="0" w:space="0" w:color="auto"/>
            <w:left w:val="none" w:sz="0" w:space="0" w:color="auto"/>
            <w:bottom w:val="none" w:sz="0" w:space="0" w:color="auto"/>
            <w:right w:val="none" w:sz="0" w:space="0" w:color="auto"/>
          </w:divBdr>
        </w:div>
        <w:div w:id="1114327784">
          <w:marLeft w:val="0"/>
          <w:marRight w:val="0"/>
          <w:marTop w:val="120"/>
          <w:marBottom w:val="0"/>
          <w:divBdr>
            <w:top w:val="none" w:sz="0" w:space="0" w:color="auto"/>
            <w:left w:val="none" w:sz="0" w:space="0" w:color="auto"/>
            <w:bottom w:val="none" w:sz="0" w:space="0" w:color="auto"/>
            <w:right w:val="none" w:sz="0" w:space="0" w:color="auto"/>
          </w:divBdr>
        </w:div>
        <w:div w:id="1215195424">
          <w:marLeft w:val="0"/>
          <w:marRight w:val="0"/>
          <w:marTop w:val="120"/>
          <w:marBottom w:val="0"/>
          <w:divBdr>
            <w:top w:val="none" w:sz="0" w:space="0" w:color="auto"/>
            <w:left w:val="none" w:sz="0" w:space="0" w:color="auto"/>
            <w:bottom w:val="none" w:sz="0" w:space="0" w:color="auto"/>
            <w:right w:val="none" w:sz="0" w:space="0" w:color="auto"/>
          </w:divBdr>
        </w:div>
        <w:div w:id="1536700876">
          <w:marLeft w:val="0"/>
          <w:marRight w:val="0"/>
          <w:marTop w:val="120"/>
          <w:marBottom w:val="0"/>
          <w:divBdr>
            <w:top w:val="none" w:sz="0" w:space="0" w:color="auto"/>
            <w:left w:val="none" w:sz="0" w:space="0" w:color="auto"/>
            <w:bottom w:val="none" w:sz="0" w:space="0" w:color="auto"/>
            <w:right w:val="none" w:sz="0" w:space="0" w:color="auto"/>
          </w:divBdr>
        </w:div>
        <w:div w:id="1834181850">
          <w:marLeft w:val="0"/>
          <w:marRight w:val="0"/>
          <w:marTop w:val="120"/>
          <w:marBottom w:val="96"/>
          <w:divBdr>
            <w:top w:val="none" w:sz="0" w:space="0" w:color="auto"/>
            <w:left w:val="single" w:sz="24" w:space="0" w:color="CED3F1"/>
            <w:bottom w:val="none" w:sz="0" w:space="0" w:color="auto"/>
            <w:right w:val="none" w:sz="0" w:space="0" w:color="auto"/>
          </w:divBdr>
        </w:div>
        <w:div w:id="1881284781">
          <w:marLeft w:val="0"/>
          <w:marRight w:val="0"/>
          <w:marTop w:val="120"/>
          <w:marBottom w:val="0"/>
          <w:divBdr>
            <w:top w:val="none" w:sz="0" w:space="0" w:color="auto"/>
            <w:left w:val="none" w:sz="0" w:space="0" w:color="auto"/>
            <w:bottom w:val="none" w:sz="0" w:space="0" w:color="auto"/>
            <w:right w:val="none" w:sz="0" w:space="0" w:color="auto"/>
          </w:divBdr>
        </w:div>
        <w:div w:id="2065137214">
          <w:marLeft w:val="0"/>
          <w:marRight w:val="0"/>
          <w:marTop w:val="120"/>
          <w:marBottom w:val="96"/>
          <w:divBdr>
            <w:top w:val="none" w:sz="0" w:space="0" w:color="auto"/>
            <w:left w:val="single" w:sz="24" w:space="0" w:color="CED3F1"/>
            <w:bottom w:val="none" w:sz="0" w:space="0" w:color="auto"/>
            <w:right w:val="none" w:sz="0" w:space="0" w:color="auto"/>
          </w:divBdr>
        </w:div>
        <w:div w:id="2097825547">
          <w:marLeft w:val="0"/>
          <w:marRight w:val="0"/>
          <w:marTop w:val="120"/>
          <w:marBottom w:val="0"/>
          <w:divBdr>
            <w:top w:val="none" w:sz="0" w:space="0" w:color="auto"/>
            <w:left w:val="none" w:sz="0" w:space="0" w:color="auto"/>
            <w:bottom w:val="none" w:sz="0" w:space="0" w:color="auto"/>
            <w:right w:val="none" w:sz="0" w:space="0" w:color="auto"/>
          </w:divBdr>
        </w:div>
      </w:divsChild>
    </w:div>
    <w:div w:id="997415408">
      <w:bodyDiv w:val="1"/>
      <w:marLeft w:val="0"/>
      <w:marRight w:val="0"/>
      <w:marTop w:val="0"/>
      <w:marBottom w:val="0"/>
      <w:divBdr>
        <w:top w:val="none" w:sz="0" w:space="0" w:color="auto"/>
        <w:left w:val="none" w:sz="0" w:space="0" w:color="auto"/>
        <w:bottom w:val="none" w:sz="0" w:space="0" w:color="auto"/>
        <w:right w:val="none" w:sz="0" w:space="0" w:color="auto"/>
      </w:divBdr>
    </w:div>
    <w:div w:id="1258488667">
      <w:bodyDiv w:val="1"/>
      <w:marLeft w:val="0"/>
      <w:marRight w:val="0"/>
      <w:marTop w:val="0"/>
      <w:marBottom w:val="0"/>
      <w:divBdr>
        <w:top w:val="none" w:sz="0" w:space="0" w:color="auto"/>
        <w:left w:val="none" w:sz="0" w:space="0" w:color="auto"/>
        <w:bottom w:val="none" w:sz="0" w:space="0" w:color="auto"/>
        <w:right w:val="none" w:sz="0" w:space="0" w:color="auto"/>
      </w:divBdr>
    </w:div>
    <w:div w:id="1291403376">
      <w:bodyDiv w:val="1"/>
      <w:marLeft w:val="0"/>
      <w:marRight w:val="0"/>
      <w:marTop w:val="0"/>
      <w:marBottom w:val="0"/>
      <w:divBdr>
        <w:top w:val="none" w:sz="0" w:space="0" w:color="auto"/>
        <w:left w:val="none" w:sz="0" w:space="0" w:color="auto"/>
        <w:bottom w:val="none" w:sz="0" w:space="0" w:color="auto"/>
        <w:right w:val="none" w:sz="0" w:space="0" w:color="auto"/>
      </w:divBdr>
    </w:div>
    <w:div w:id="1813138981">
      <w:bodyDiv w:val="1"/>
      <w:marLeft w:val="0"/>
      <w:marRight w:val="0"/>
      <w:marTop w:val="0"/>
      <w:marBottom w:val="0"/>
      <w:divBdr>
        <w:top w:val="none" w:sz="0" w:space="0" w:color="auto"/>
        <w:left w:val="none" w:sz="0" w:space="0" w:color="auto"/>
        <w:bottom w:val="none" w:sz="0" w:space="0" w:color="auto"/>
        <w:right w:val="none" w:sz="0" w:space="0" w:color="auto"/>
      </w:divBdr>
      <w:divsChild>
        <w:div w:id="787434353">
          <w:marLeft w:val="547"/>
          <w:marRight w:val="0"/>
          <w:marTop w:val="0"/>
          <w:marBottom w:val="0"/>
          <w:divBdr>
            <w:top w:val="none" w:sz="0" w:space="0" w:color="auto"/>
            <w:left w:val="none" w:sz="0" w:space="0" w:color="auto"/>
            <w:bottom w:val="none" w:sz="0" w:space="0" w:color="auto"/>
            <w:right w:val="none" w:sz="0" w:space="0" w:color="auto"/>
          </w:divBdr>
        </w:div>
        <w:div w:id="20862923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 Андрей Анатольевич</dc:creator>
  <cp:lastModifiedBy>iNternet_kab_209</cp:lastModifiedBy>
  <cp:revision>5</cp:revision>
  <cp:lastPrinted>2020-02-25T10:46:00Z</cp:lastPrinted>
  <dcterms:created xsi:type="dcterms:W3CDTF">2020-02-26T05:55:00Z</dcterms:created>
  <dcterms:modified xsi:type="dcterms:W3CDTF">2020-02-28T07:03:00Z</dcterms:modified>
</cp:coreProperties>
</file>